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Fecha</w:t>
      </w:r>
      <w:r w:rsidDel="00000000" w:rsidR="00000000" w:rsidRPr="00000000">
        <w:rPr>
          <w:rFonts w:ascii="Arial" w:cs="Arial" w:eastAsia="Arial" w:hAnsi="Arial"/>
          <w:color w:val="000000"/>
          <w:rtl w:val="0"/>
        </w:rPr>
        <w:t xml:space="preserve">:</w:t>
        <w:tab/>
      </w:r>
      <w:r w:rsidDel="00000000" w:rsidR="00000000" w:rsidRPr="00000000">
        <w:rPr>
          <w:rFonts w:ascii="Arial" w:cs="Arial" w:eastAsia="Arial" w:hAnsi="Arial"/>
          <w:color w:val="000000"/>
          <w:u w:val="single"/>
          <w:rtl w:val="0"/>
        </w:rPr>
        <w:t xml:space="preserve">17</w:t>
      </w:r>
      <w:r w:rsidDel="00000000" w:rsidR="00000000" w:rsidRPr="00000000">
        <w:rPr>
          <w:rFonts w:ascii="Arial" w:cs="Arial" w:eastAsia="Arial" w:hAnsi="Arial"/>
          <w:u w:val="single"/>
          <w:rtl w:val="0"/>
        </w:rPr>
        <w:t xml:space="preserve"> de diciembre de 2025</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Hora:</w:t>
      </w:r>
      <w:r w:rsidDel="00000000" w:rsidR="00000000" w:rsidRPr="00000000">
        <w:rPr>
          <w:rFonts w:ascii="Arial" w:cs="Arial" w:eastAsia="Arial" w:hAnsi="Arial"/>
          <w:color w:val="000000"/>
          <w:rtl w:val="0"/>
        </w:rPr>
        <w:tab/>
        <w:tab/>
      </w:r>
      <w:r w:rsidDel="00000000" w:rsidR="00000000" w:rsidRPr="00000000">
        <w:rPr>
          <w:rFonts w:ascii="Arial" w:cs="Arial" w:eastAsia="Arial" w:hAnsi="Arial"/>
          <w:color w:val="000000"/>
          <w:u w:val="single"/>
          <w:rtl w:val="0"/>
        </w:rPr>
        <w:t xml:space="preserve">08</w:t>
      </w:r>
      <w:r w:rsidDel="00000000" w:rsidR="00000000" w:rsidRPr="00000000">
        <w:rPr>
          <w:rFonts w:ascii="Arial" w:cs="Arial" w:eastAsia="Arial" w:hAnsi="Arial"/>
          <w:u w:val="single"/>
          <w:rtl w:val="0"/>
        </w:rPr>
        <w:t xml:space="preserve">:00 a</w:t>
      </w:r>
      <w:r w:rsidDel="00000000" w:rsidR="00000000" w:rsidRPr="00000000">
        <w:rPr>
          <w:rFonts w:ascii="Arial" w:cs="Arial" w:eastAsia="Arial" w:hAnsi="Arial"/>
          <w:color w:val="000000"/>
          <w:u w:val="single"/>
          <w:rtl w:val="0"/>
        </w:rPr>
        <w:t xml:space="preserve">.m. – </w:t>
      </w:r>
      <w:r w:rsidDel="00000000" w:rsidR="00000000" w:rsidRPr="00000000">
        <w:rPr>
          <w:rFonts w:ascii="Arial" w:cs="Arial" w:eastAsia="Arial" w:hAnsi="Arial"/>
          <w:u w:val="single"/>
          <w:rtl w:val="0"/>
        </w:rPr>
        <w:t xml:space="preserve">09:00 a.</w:t>
      </w:r>
      <w:r w:rsidDel="00000000" w:rsidR="00000000" w:rsidRPr="00000000">
        <w:rPr>
          <w:rFonts w:ascii="Arial" w:cs="Arial" w:eastAsia="Arial" w:hAnsi="Arial"/>
          <w:color w:val="000000"/>
          <w:u w:val="single"/>
          <w:rtl w:val="0"/>
        </w:rPr>
        <w:t xml:space="preserve">m.</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0"/>
        </w:tabs>
        <w:spacing w:line="360" w:lineRule="auto"/>
        <w:jc w:val="both"/>
        <w:rPr>
          <w:rFonts w:ascii="Arial" w:cs="Arial" w:eastAsia="Arial" w:hAnsi="Arial"/>
          <w:u w:val="single"/>
        </w:rPr>
      </w:pPr>
      <w:r w:rsidDel="00000000" w:rsidR="00000000" w:rsidRPr="00000000">
        <w:rPr>
          <w:rFonts w:ascii="Arial" w:cs="Arial" w:eastAsia="Arial" w:hAnsi="Arial"/>
          <w:b w:val="1"/>
          <w:bCs w:val="1"/>
          <w:color w:val="000000"/>
          <w:rtl w:val="0"/>
        </w:rPr>
        <w:t xml:space="preserve">Lugar:</w:t>
      </w:r>
      <w:r w:rsidDel="00000000" w:rsidR="00000000" w:rsidRPr="00000000">
        <w:rPr>
          <w:rFonts w:ascii="Arial" w:cs="Arial" w:eastAsia="Arial" w:hAnsi="Arial"/>
          <w:color w:val="000000"/>
          <w:rtl w:val="0"/>
        </w:rPr>
        <w:tab/>
      </w:r>
      <w:r w:rsidDel="00000000" w:rsidR="00000000" w:rsidRPr="00000000">
        <w:rPr>
          <w:rFonts w:ascii="Arial" w:cs="Arial" w:eastAsia="Arial" w:hAnsi="Arial"/>
          <w:u w:val="single"/>
          <w:rtl w:val="0"/>
        </w:rPr>
        <w:t xml:space="preserve">VIRTUAL vía MEET (meet.google.com/wtj-tvdo-zjb)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0"/>
        </w:tabs>
        <w:spacing w:line="360" w:lineRule="auto"/>
        <w:jc w:val="both"/>
        <w:rPr>
          <w:rFonts w:ascii="Arial" w:cs="Arial" w:eastAsia="Arial" w:hAnsi="Arial"/>
          <w:u w:val="single"/>
        </w:rPr>
      </w:pPr>
      <w:r w:rsidDel="00000000" w:rsidR="00000000" w:rsidRPr="00000000">
        <w:rPr>
          <w:rtl w:val="0"/>
        </w:rPr>
      </w:r>
    </w:p>
    <w:tbl>
      <w:tblPr>
        <w:tblStyle w:val="Table1"/>
        <w:tblW w:w="9510.0" w:type="dxa"/>
        <w:jc w:val="left"/>
        <w:tblLayout w:type="fixed"/>
        <w:tblLook w:val="0000"/>
      </w:tblPr>
      <w:tblGrid>
        <w:gridCol w:w="3114"/>
        <w:gridCol w:w="6396"/>
        <w:tblGridChange w:id="0">
          <w:tblGrid>
            <w:gridCol w:w="3114"/>
            <w:gridCol w:w="6396"/>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vAlign w:val="center"/>
          </w:tcPr>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i w:val="1"/>
                <w:iCs w:val="1"/>
                <w:color w:val="000000"/>
              </w:rPr>
            </w:pPr>
            <w:r w:rsidDel="00000000" w:rsidR="00000000" w:rsidRPr="00000000">
              <w:rPr>
                <w:rFonts w:ascii="Arial" w:cs="Arial" w:eastAsia="Arial" w:hAnsi="Arial"/>
                <w:b w:val="1"/>
                <w:bCs w:val="1"/>
                <w:color w:val="000000"/>
                <w:rtl w:val="0"/>
              </w:rPr>
              <w:t xml:space="preserve">ASISTENTES A LA REUNIÓN</w:t>
            </w:r>
            <w:r w:rsidDel="00000000" w:rsidR="00000000" w:rsidRPr="00000000">
              <w:rPr>
                <w:rtl w:val="0"/>
              </w:rPr>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cente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NOMBRE</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CARGO</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hyperlink r:id="rId7">
              <w:r w:rsidDel="00000000" w:rsidR="00000000" w:rsidRPr="00000000">
                <w:rPr>
                  <w:rFonts w:ascii="Arial" w:cs="Arial" w:eastAsia="Arial" w:hAnsi="Arial"/>
                  <w:rtl w:val="0"/>
                </w:rPr>
                <w:t xml:space="preserve">Natalia </w:t>
              </w:r>
            </w:hyperlink>
            <w:r w:rsidDel="00000000" w:rsidR="00000000" w:rsidRPr="00000000">
              <w:rPr>
                <w:rFonts w:ascii="Arial" w:cs="Arial" w:eastAsia="Arial" w:hAnsi="Arial"/>
                <w:rtl w:val="0"/>
              </w:rPr>
              <w:t xml:space="preserve">Sefair López</w:t>
            </w:r>
            <w:r w:rsidDel="00000000" w:rsidR="00000000" w:rsidRPr="00000000">
              <w:rPr>
                <w:rtl w:val="0"/>
              </w:rPr>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rtl w:val="0"/>
              </w:rPr>
              <w:t xml:space="preserve">Asesora de Despacho – Supervisora </w:t>
            </w:r>
            <w:r w:rsidDel="00000000" w:rsidR="00000000" w:rsidRPr="00000000">
              <w:rPr>
                <w:rtl w:val="0"/>
              </w:rPr>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rFonts w:ascii="Arial" w:cs="Arial" w:eastAsia="Arial" w:hAnsi="Arial"/>
              </w:rPr>
            </w:pPr>
            <w:hyperlink r:id="rId8">
              <w:r w:rsidDel="00000000" w:rsidR="00000000" w:rsidRPr="00000000">
                <w:rPr>
                  <w:rFonts w:ascii="Arial" w:cs="Arial" w:eastAsia="Arial" w:hAnsi="Arial"/>
                  <w:rtl w:val="0"/>
                </w:rPr>
                <w:t xml:space="preserve">Hugo Jairo Robles Hernández</w:t>
              </w:r>
            </w:hyperlink>
            <w:r w:rsidDel="00000000" w:rsidR="00000000" w:rsidRPr="00000000">
              <w:rPr>
                <w:rtl w:val="0"/>
              </w:rPr>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center"/>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Asesor de Despacho - Delegado de la Subsecretaría de Gobernanza</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Antonio </w:t>
            </w:r>
            <w:r w:rsidDel="00000000" w:rsidR="00000000" w:rsidRPr="00000000">
              <w:rPr>
                <w:rFonts w:ascii="Arial" w:cs="Arial" w:eastAsia="Arial" w:hAnsi="Arial"/>
                <w:rtl w:val="0"/>
              </w:rPr>
              <w:t xml:space="preserve">Suárez</w:t>
            </w:r>
          </w:p>
        </w:tc>
        <w:tc>
          <w:tcPr>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color w:val="000000"/>
                <w:rtl w:val="0"/>
              </w:rPr>
              <w:t xml:space="preserve">Presidente Asociación Nacional de las Artes (ANA)</w:t>
            </w:r>
            <w:r w:rsidDel="00000000" w:rsidR="00000000" w:rsidRPr="00000000">
              <w:rPr>
                <w:rtl w:val="0"/>
              </w:rPr>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000F">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José Alberto Arroyo Valencia</w:t>
            </w:r>
            <w:r w:rsidDel="00000000" w:rsidR="00000000" w:rsidRPr="00000000">
              <w:rPr>
                <w:rtl w:val="0"/>
              </w:rPr>
            </w:r>
          </w:p>
        </w:tc>
        <w:tc>
          <w:tcPr>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0">
            <w:pPr>
              <w:jc w:val="both"/>
              <w:rPr>
                <w:rFonts w:ascii="Arial" w:cs="Arial" w:eastAsia="Arial" w:hAnsi="Arial"/>
              </w:rPr>
            </w:pPr>
            <w:r w:rsidDel="00000000" w:rsidR="00000000" w:rsidRPr="00000000">
              <w:rPr>
                <w:rFonts w:ascii="Arial" w:cs="Arial" w:eastAsia="Arial" w:hAnsi="Arial"/>
                <w:rtl w:val="0"/>
              </w:rPr>
              <w:t xml:space="preserve">Director Filarmónico de la Orquesta Filarmónica de Bogotá</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001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Deisy Burbano</w:t>
            </w:r>
          </w:p>
        </w:tc>
        <w:tc>
          <w:tcPr>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2">
            <w:pPr>
              <w:jc w:val="both"/>
              <w:rPr>
                <w:rFonts w:ascii="Arial" w:cs="Arial" w:eastAsia="Arial" w:hAnsi="Arial"/>
                <w:color w:val="000000"/>
              </w:rPr>
            </w:pPr>
            <w:r w:rsidDel="00000000" w:rsidR="00000000" w:rsidRPr="00000000">
              <w:rPr>
                <w:rFonts w:ascii="Arial" w:cs="Arial" w:eastAsia="Arial" w:hAnsi="Arial"/>
                <w:rtl w:val="0"/>
              </w:rPr>
              <w:t xml:space="preserve">Directora Financiera </w:t>
            </w:r>
            <w:r w:rsidDel="00000000" w:rsidR="00000000" w:rsidRPr="00000000">
              <w:rPr>
                <w:rFonts w:ascii="Arial" w:cs="Arial" w:eastAsia="Arial" w:hAnsi="Arial"/>
                <w:color w:val="000000"/>
                <w:rtl w:val="0"/>
              </w:rPr>
              <w:t xml:space="preserve">Asociación Nacional de las Artes (ANA)</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Laura Segura</w:t>
            </w:r>
          </w:p>
        </w:tc>
        <w:tc>
          <w:tcPr>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4">
            <w:pPr>
              <w:jc w:val="both"/>
              <w:rPr>
                <w:rFonts w:ascii="Arial" w:cs="Arial" w:eastAsia="Arial" w:hAnsi="Arial"/>
              </w:rPr>
            </w:pPr>
            <w:r w:rsidDel="00000000" w:rsidR="00000000" w:rsidRPr="00000000">
              <w:rPr>
                <w:rFonts w:ascii="Arial" w:cs="Arial" w:eastAsia="Arial" w:hAnsi="Arial"/>
                <w:color w:val="000000"/>
                <w:rtl w:val="0"/>
              </w:rPr>
              <w:t xml:space="preserve">Directora de Proyectos Asociación Nacional de las Artes (ANA)</w:t>
            </w:r>
            <w:r w:rsidDel="00000000" w:rsidR="00000000" w:rsidRPr="00000000">
              <w:rPr>
                <w:rtl w:val="0"/>
              </w:rPr>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tcPr>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Adriana González Hassig</w:t>
            </w:r>
            <w:r w:rsidDel="00000000" w:rsidR="00000000" w:rsidRPr="00000000">
              <w:rPr>
                <w:rtl w:val="0"/>
              </w:rPr>
            </w:r>
          </w:p>
        </w:tc>
        <w:tc>
          <w:tcPr>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Contratista SCRD</w:t>
            </w:r>
            <w:r w:rsidDel="00000000" w:rsidR="00000000" w:rsidRPr="00000000">
              <w:rPr>
                <w:rtl w:val="0"/>
              </w:rPr>
            </w:r>
          </w:p>
        </w:tc>
      </w:tr>
      <w:tr>
        <w:trPr>
          <w:cantSplit w:val="0"/>
          <w:trHeight w:val="365" w:hRule="atLeast"/>
          <w:tblHeader w:val="0"/>
        </w:trPr>
        <w:tc>
          <w:tcPr>
            <w:tcBorders>
              <w:left w:color="000000" w:space="0" w:sz="4" w:val="single"/>
              <w:bottom w:color="000000" w:space="0" w:sz="4" w:val="single"/>
            </w:tcBorders>
            <w:tcMar>
              <w:top w:w="55.0" w:type="dxa"/>
              <w:left w:w="55.0" w:type="dxa"/>
              <w:bottom w:w="55.0" w:type="dxa"/>
              <w:right w:w="55.0" w:type="dxa"/>
            </w:tcMar>
            <w:vAlign w:val="center"/>
          </w:tcPr>
          <w:p w:rsidR="00000000" w:rsidDel="00000000" w:rsidP="00000000" w:rsidRDefault="00000000" w:rsidRPr="00000000" w14:paraId="00000017">
            <w:pPr>
              <w:jc w:val="both"/>
              <w:rPr>
                <w:rFonts w:ascii="Arial" w:cs="Arial" w:eastAsia="Arial" w:hAnsi="Arial"/>
              </w:rPr>
            </w:pPr>
            <w:r w:rsidDel="00000000" w:rsidR="00000000" w:rsidRPr="00000000">
              <w:rPr>
                <w:rFonts w:ascii="Arial" w:cs="Arial" w:eastAsia="Arial" w:hAnsi="Arial"/>
                <w:rtl w:val="0"/>
              </w:rPr>
              <w:t xml:space="preserve">Nilson Sánchez</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center"/>
          </w:tcPr>
          <w:p w:rsidR="00000000" w:rsidDel="00000000" w:rsidP="00000000" w:rsidRDefault="00000000" w:rsidRPr="00000000" w14:paraId="00000018">
            <w:pPr>
              <w:jc w:val="both"/>
              <w:rPr>
                <w:rFonts w:ascii="Arial" w:cs="Arial" w:eastAsia="Arial" w:hAnsi="Arial"/>
              </w:rPr>
            </w:pPr>
            <w:r w:rsidDel="00000000" w:rsidR="00000000" w:rsidRPr="00000000">
              <w:rPr>
                <w:rFonts w:ascii="Arial" w:cs="Arial" w:eastAsia="Arial" w:hAnsi="Arial"/>
                <w:rtl w:val="0"/>
              </w:rPr>
              <w:t xml:space="preserve">Contratista SCRD</w:t>
            </w:r>
          </w:p>
        </w:tc>
      </w:tr>
    </w:tbl>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A">
      <w:pPr>
        <w:widowControl w:val="1"/>
        <w:jc w:val="both"/>
        <w:rPr>
          <w:rFonts w:ascii="Arial" w:cs="Arial" w:eastAsia="Arial" w:hAnsi="Arial"/>
        </w:rPr>
      </w:pPr>
      <w:r w:rsidDel="00000000" w:rsidR="00000000" w:rsidRPr="00000000">
        <w:rPr>
          <w:rFonts w:ascii="Arial" w:cs="Arial" w:eastAsia="Arial" w:hAnsi="Arial"/>
          <w:b w:val="1"/>
          <w:bCs w:val="1"/>
          <w:color w:val="000000"/>
          <w:rtl w:val="0"/>
        </w:rPr>
        <w:t xml:space="preserve">ORDEN DEL DÍA</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1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1C">
      <w:pPr>
        <w:widowControl w:val="1"/>
        <w:numPr>
          <w:ilvl w:val="0"/>
          <w:numId w:val="4"/>
        </w:numPr>
        <w:pBdr>
          <w:top w:space="0" w:sz="0" w:val="nil"/>
          <w:left w:space="0" w:sz="0" w:val="nil"/>
          <w:bottom w:space="0" w:sz="0" w:val="nil"/>
          <w:right w:space="0" w:sz="0" w:val="nil"/>
          <w:between w:space="0" w:sz="0" w:val="nil"/>
        </w:pBdr>
        <w:spacing w:line="276" w:lineRule="auto"/>
        <w:ind w:left="56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Confirmación de Quórum</w:t>
      </w:r>
    </w:p>
    <w:p w:rsidR="00000000" w:rsidDel="00000000" w:rsidP="00000000" w:rsidRDefault="00000000" w:rsidRPr="00000000" w14:paraId="0000001D">
      <w:pPr>
        <w:widowControl w:val="1"/>
        <w:numPr>
          <w:ilvl w:val="0"/>
          <w:numId w:val="4"/>
        </w:numPr>
        <w:pBdr>
          <w:top w:space="0" w:sz="0" w:val="nil"/>
          <w:left w:space="0" w:sz="0" w:val="nil"/>
          <w:bottom w:space="0" w:sz="0" w:val="nil"/>
          <w:right w:space="0" w:sz="0" w:val="nil"/>
          <w:between w:space="0" w:sz="0" w:val="nil"/>
        </w:pBdr>
        <w:spacing w:line="276" w:lineRule="auto"/>
        <w:ind w:left="56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Aprobación del Orden del día</w:t>
      </w:r>
    </w:p>
    <w:p w:rsidR="00000000" w:rsidDel="00000000" w:rsidP="00000000" w:rsidRDefault="00000000" w:rsidRPr="00000000" w14:paraId="0000001E">
      <w:pPr>
        <w:widowControl w:val="1"/>
        <w:numPr>
          <w:ilvl w:val="0"/>
          <w:numId w:val="4"/>
        </w:numPr>
        <w:pBdr>
          <w:top w:space="0" w:sz="0" w:val="nil"/>
          <w:left w:space="0" w:sz="0" w:val="nil"/>
          <w:bottom w:space="0" w:sz="0" w:val="nil"/>
          <w:right w:space="0" w:sz="0" w:val="nil"/>
          <w:between w:space="0" w:sz="0" w:val="nil"/>
        </w:pBdr>
        <w:spacing w:line="276" w:lineRule="auto"/>
        <w:ind w:left="56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Revisión de ejecución </w:t>
      </w:r>
    </w:p>
    <w:p w:rsidR="00000000" w:rsidDel="00000000" w:rsidP="00000000" w:rsidRDefault="00000000" w:rsidRPr="00000000" w14:paraId="0000001F">
      <w:pPr>
        <w:widowControl w:val="1"/>
        <w:numPr>
          <w:ilvl w:val="0"/>
          <w:numId w:val="4"/>
        </w:numPr>
        <w:pBdr>
          <w:top w:space="0" w:sz="0" w:val="nil"/>
          <w:left w:space="0" w:sz="0" w:val="nil"/>
          <w:bottom w:space="0" w:sz="0" w:val="nil"/>
          <w:right w:space="0" w:sz="0" w:val="nil"/>
          <w:between w:space="0" w:sz="0" w:val="nil"/>
        </w:pBdr>
        <w:spacing w:line="276" w:lineRule="auto"/>
        <w:ind w:left="567"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Proposiciones y varios.</w:t>
      </w:r>
    </w:p>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DESARROLLO</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2">
      <w:pPr>
        <w:widowControl w:val="1"/>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3">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1. Confirmación de Quórum</w:t>
      </w:r>
    </w:p>
    <w:p w:rsidR="00000000" w:rsidDel="00000000" w:rsidP="00000000" w:rsidRDefault="00000000" w:rsidRPr="00000000" w14:paraId="00000024">
      <w:pPr>
        <w:widowControl w:val="1"/>
        <w:spacing w:after="240" w:before="240"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Bienvenida, verificación de quórum y presentación de delegaciones</w:t>
      </w:r>
    </w:p>
    <w:p w:rsidR="00000000" w:rsidDel="00000000" w:rsidP="00000000" w:rsidRDefault="00000000" w:rsidRPr="00000000" w14:paraId="00000025">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La Secretaría Distrital de Cultura, Recreación y Deporte da apertura al un</w:t>
      </w:r>
      <w:r w:rsidDel="00000000" w:rsidR="00000000" w:rsidRPr="00000000">
        <w:rPr>
          <w:rFonts w:ascii="Arial" w:cs="Arial" w:eastAsia="Arial" w:hAnsi="Arial"/>
          <w:rtl w:val="0"/>
        </w:rPr>
        <w:t xml:space="preserve">décimo </w:t>
      </w:r>
      <w:r w:rsidDel="00000000" w:rsidR="00000000" w:rsidRPr="00000000">
        <w:rPr>
          <w:rFonts w:ascii="Arial" w:cs="Arial" w:eastAsia="Arial" w:hAnsi="Arial"/>
          <w:color w:val="000000"/>
          <w:rtl w:val="0"/>
        </w:rPr>
        <w:t xml:space="preserve">comité técnico operativo del Convenio de Asociación 768 de 2024. Posteriormente, realiza la aprobación del quórum, respecto a los integrantes que componen dicho comité.</w:t>
      </w:r>
    </w:p>
    <w:p w:rsidR="00000000" w:rsidDel="00000000" w:rsidP="00000000" w:rsidRDefault="00000000" w:rsidRPr="00000000" w14:paraId="0000002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27">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Se verifica quórum con la presencia de los siguientes integrantes de comité:</w:t>
      </w:r>
    </w:p>
    <w:p w:rsidR="00000000" w:rsidDel="00000000" w:rsidP="00000000" w:rsidRDefault="00000000" w:rsidRPr="00000000" w14:paraId="00000028">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9">
      <w:pPr>
        <w:widowControl w:val="1"/>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Natalia Sefair López - supervisora del Convenio.</w:t>
      </w:r>
    </w:p>
    <w:p w:rsidR="00000000" w:rsidDel="00000000" w:rsidP="00000000" w:rsidRDefault="00000000" w:rsidRPr="00000000" w14:paraId="0000002A">
      <w:pPr>
        <w:widowControl w:val="1"/>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Hugo Jairo Robles Hernández - asesor de </w:t>
      </w:r>
      <w:r w:rsidDel="00000000" w:rsidR="00000000" w:rsidRPr="00000000">
        <w:rPr>
          <w:rFonts w:ascii="Arial" w:cs="Arial" w:eastAsia="Arial" w:hAnsi="Arial"/>
          <w:rtl w:val="0"/>
        </w:rPr>
        <w:t xml:space="preserve">D</w:t>
      </w:r>
      <w:r w:rsidDel="00000000" w:rsidR="00000000" w:rsidRPr="00000000">
        <w:rPr>
          <w:rFonts w:ascii="Arial" w:cs="Arial" w:eastAsia="Arial" w:hAnsi="Arial"/>
          <w:color w:val="000000"/>
          <w:rtl w:val="0"/>
        </w:rPr>
        <w:t xml:space="preserve">espacho delegado de la Subsecretaría de Gobernanza.</w:t>
      </w:r>
    </w:p>
    <w:p w:rsidR="00000000" w:rsidDel="00000000" w:rsidP="00000000" w:rsidRDefault="00000000" w:rsidRPr="00000000" w14:paraId="0000002B">
      <w:pPr>
        <w:widowControl w:val="1"/>
        <w:numPr>
          <w:ilvl w:val="0"/>
          <w:numId w:val="3"/>
        </w:numPr>
        <w:ind w:left="720" w:hanging="360"/>
        <w:jc w:val="both"/>
        <w:rPr>
          <w:rFonts w:ascii="Arial" w:cs="Arial" w:eastAsia="Arial" w:hAnsi="Arial"/>
        </w:rPr>
      </w:pPr>
      <w:r w:rsidDel="00000000" w:rsidR="00000000" w:rsidRPr="00000000">
        <w:rPr>
          <w:rFonts w:ascii="Arial" w:cs="Arial" w:eastAsia="Arial" w:hAnsi="Arial"/>
          <w:rtl w:val="0"/>
        </w:rPr>
        <w:t xml:space="preserve">José Alberto Arroyo Valencia - Director Filarmónico de la Orquesta Filarmónica de Bogotá.</w:t>
      </w:r>
    </w:p>
    <w:p w:rsidR="00000000" w:rsidDel="00000000" w:rsidP="00000000" w:rsidRDefault="00000000" w:rsidRPr="00000000" w14:paraId="0000002C">
      <w:pPr>
        <w:widowControl w:val="1"/>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Antonio </w:t>
      </w:r>
      <w:r w:rsidDel="00000000" w:rsidR="00000000" w:rsidRPr="00000000">
        <w:rPr>
          <w:rFonts w:ascii="Arial" w:cs="Arial" w:eastAsia="Arial" w:hAnsi="Arial"/>
          <w:rtl w:val="0"/>
        </w:rPr>
        <w:t xml:space="preserve">Suárez</w:t>
      </w:r>
      <w:r w:rsidDel="00000000" w:rsidR="00000000" w:rsidRPr="00000000">
        <w:rPr>
          <w:rFonts w:ascii="Arial" w:cs="Arial" w:eastAsia="Arial" w:hAnsi="Arial"/>
          <w:color w:val="000000"/>
          <w:rtl w:val="0"/>
        </w:rPr>
        <w:t xml:space="preserve"> - </w:t>
      </w:r>
      <w:r w:rsidDel="00000000" w:rsidR="00000000" w:rsidRPr="00000000">
        <w:rPr>
          <w:rFonts w:ascii="Arial" w:cs="Arial" w:eastAsia="Arial" w:hAnsi="Arial"/>
          <w:rtl w:val="0"/>
        </w:rPr>
        <w:t xml:space="preserve">presidente</w:t>
      </w:r>
      <w:r w:rsidDel="00000000" w:rsidR="00000000" w:rsidRPr="00000000">
        <w:rPr>
          <w:rFonts w:ascii="Arial" w:cs="Arial" w:eastAsia="Arial" w:hAnsi="Arial"/>
          <w:color w:val="000000"/>
          <w:rtl w:val="0"/>
        </w:rPr>
        <w:t xml:space="preserve"> de la Asociación Nacional de las Artes (ANA).</w:t>
      </w:r>
    </w:p>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E">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2. Aprobación del orden del día.</w:t>
      </w:r>
    </w:p>
    <w:p w:rsidR="00000000" w:rsidDel="00000000" w:rsidP="00000000" w:rsidRDefault="00000000" w:rsidRPr="00000000" w14:paraId="0000002F">
      <w:pPr>
        <w:widowControl w:val="1"/>
        <w:spacing w:after="240" w:before="240" w:line="276" w:lineRule="auto"/>
        <w:jc w:val="both"/>
        <w:rPr>
          <w:rFonts w:ascii="Arial" w:cs="Arial" w:eastAsia="Arial" w:hAnsi="Arial"/>
        </w:rPr>
      </w:pPr>
      <w:r w:rsidDel="00000000" w:rsidR="00000000" w:rsidRPr="00000000">
        <w:rPr>
          <w:rFonts w:ascii="Arial" w:cs="Arial" w:eastAsia="Arial" w:hAnsi="Arial"/>
          <w:color w:val="000000"/>
          <w:rtl w:val="0"/>
        </w:rPr>
        <w:t xml:space="preserve">A continuación, la Secretaría Distrital de Cultura, Recreación y Deporte procede a presentar el orden del día</w:t>
      </w:r>
      <w:r w:rsidDel="00000000" w:rsidR="00000000" w:rsidRPr="00000000">
        <w:rPr>
          <w:rFonts w:ascii="Arial" w:cs="Arial" w:eastAsia="Arial" w:hAnsi="Arial"/>
          <w:rtl w:val="0"/>
        </w:rPr>
        <w:t xml:space="preserve">.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b w:val="1"/>
          <w:bCs w:val="1"/>
          <w:rtl w:val="0"/>
        </w:rPr>
        <w:t xml:space="preserve">ORDEN DEL DÍA</w:t>
      </w:r>
      <w:r w:rsidDel="00000000" w:rsidR="00000000" w:rsidRPr="00000000">
        <w:rPr>
          <w:rFonts w:ascii="Arial" w:cs="Arial" w:eastAsia="Arial" w:hAnsi="Arial"/>
          <w:rtl w:val="0"/>
        </w:rPr>
        <w:t xml:space="preserve">:</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Confirmación de Quórum</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Aprobación del Orden del día</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Revisión de ejecución </w:t>
      </w:r>
    </w:p>
    <w:p w:rsidR="00000000" w:rsidDel="00000000" w:rsidP="00000000" w:rsidRDefault="00000000" w:rsidRPr="00000000" w14:paraId="000000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Proposiciones y varios.</w:t>
      </w:r>
    </w:p>
    <w:p w:rsidR="00000000" w:rsidDel="00000000" w:rsidP="00000000" w:rsidRDefault="00000000" w:rsidRPr="00000000" w14:paraId="00000036">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7">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Luego de la lectura del orden del día, se somete a aprobación por parte de los integrantes del Comité Técnico Operativo.</w:t>
      </w:r>
    </w:p>
    <w:p w:rsidR="00000000" w:rsidDel="00000000" w:rsidP="00000000" w:rsidRDefault="00000000" w:rsidRPr="00000000" w14:paraId="00000038">
      <w:pPr>
        <w:widowControl w:val="1"/>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9">
      <w:pPr>
        <w:widowControl w:val="1"/>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Natalia Sefair López</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supervisora del Convenio, aprueba el orden del día.</w:t>
      </w:r>
    </w:p>
    <w:p w:rsidR="00000000" w:rsidDel="00000000" w:rsidP="00000000" w:rsidRDefault="00000000" w:rsidRPr="00000000" w14:paraId="0000003A">
      <w:pPr>
        <w:widowControl w:val="1"/>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Hugo Jairo Robles Hernánde</w:t>
      </w:r>
      <w:r w:rsidDel="00000000" w:rsidR="00000000" w:rsidRPr="00000000">
        <w:rPr>
          <w:rFonts w:ascii="Arial" w:cs="Arial" w:eastAsia="Arial" w:hAnsi="Arial"/>
          <w:rtl w:val="0"/>
        </w:rPr>
        <w:t xml:space="preserve">z, </w:t>
      </w:r>
      <w:r w:rsidDel="00000000" w:rsidR="00000000" w:rsidRPr="00000000">
        <w:rPr>
          <w:rFonts w:ascii="Arial" w:cs="Arial" w:eastAsia="Arial" w:hAnsi="Arial"/>
          <w:color w:val="000000"/>
          <w:rtl w:val="0"/>
        </w:rPr>
        <w:t xml:space="preserve">asesor de despacho delegado de la Subsecretaría de Gobernanza, aprueba el orden del día.</w:t>
      </w:r>
    </w:p>
    <w:p w:rsidR="00000000" w:rsidDel="00000000" w:rsidP="00000000" w:rsidRDefault="00000000" w:rsidRPr="00000000" w14:paraId="0000003B">
      <w:pPr>
        <w:widowControl w:val="1"/>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Antonio </w:t>
      </w:r>
      <w:r w:rsidDel="00000000" w:rsidR="00000000" w:rsidRPr="00000000">
        <w:rPr>
          <w:rFonts w:ascii="Arial" w:cs="Arial" w:eastAsia="Arial" w:hAnsi="Arial"/>
          <w:rtl w:val="0"/>
        </w:rPr>
        <w:t xml:space="preserve">Suárez, </w:t>
      </w:r>
      <w:r w:rsidDel="00000000" w:rsidR="00000000" w:rsidRPr="00000000">
        <w:rPr>
          <w:rFonts w:ascii="Arial" w:cs="Arial" w:eastAsia="Arial" w:hAnsi="Arial"/>
          <w:color w:val="000000"/>
          <w:rtl w:val="0"/>
        </w:rPr>
        <w:t xml:space="preserve">presidente de la Asociación Nacional de las Artes (ANA), aprueba el orden del día.</w:t>
      </w:r>
    </w:p>
    <w:p w:rsidR="00000000" w:rsidDel="00000000" w:rsidP="00000000" w:rsidRDefault="00000000" w:rsidRPr="00000000" w14:paraId="0000003C">
      <w:pPr>
        <w:widowControl w:val="1"/>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José Alberto Arroyo Valencia</w:t>
      </w:r>
      <w:r w:rsidDel="00000000" w:rsidR="00000000" w:rsidRPr="00000000">
        <w:rPr>
          <w:rFonts w:ascii="Arial" w:cs="Arial" w:eastAsia="Arial" w:hAnsi="Arial"/>
          <w:rtl w:val="0"/>
        </w:rPr>
        <w:t xml:space="preserve">, d</w:t>
      </w:r>
      <w:r w:rsidDel="00000000" w:rsidR="00000000" w:rsidRPr="00000000">
        <w:rPr>
          <w:rFonts w:ascii="Arial" w:cs="Arial" w:eastAsia="Arial" w:hAnsi="Arial"/>
          <w:color w:val="000000"/>
          <w:rtl w:val="0"/>
        </w:rPr>
        <w:t xml:space="preserve">irector Filarmónico de la Orquesta Filarmónica de </w:t>
      </w:r>
      <w:r w:rsidDel="00000000" w:rsidR="00000000" w:rsidRPr="00000000">
        <w:rPr>
          <w:rFonts w:ascii="Arial" w:cs="Arial" w:eastAsia="Arial" w:hAnsi="Arial"/>
          <w:rtl w:val="0"/>
        </w:rPr>
        <w:t xml:space="preserve">Bo</w:t>
      </w:r>
      <w:r w:rsidDel="00000000" w:rsidR="00000000" w:rsidRPr="00000000">
        <w:rPr>
          <w:rFonts w:ascii="Arial" w:cs="Arial" w:eastAsia="Arial" w:hAnsi="Arial"/>
          <w:color w:val="000000"/>
          <w:rtl w:val="0"/>
        </w:rPr>
        <w:t xml:space="preserve">got</w:t>
      </w:r>
      <w:r w:rsidDel="00000000" w:rsidR="00000000" w:rsidRPr="00000000">
        <w:rPr>
          <w:rFonts w:ascii="Arial" w:cs="Arial" w:eastAsia="Arial" w:hAnsi="Arial"/>
          <w:rtl w:val="0"/>
        </w:rPr>
        <w:t xml:space="preserve">á,</w:t>
      </w:r>
      <w:r w:rsidDel="00000000" w:rsidR="00000000" w:rsidRPr="00000000">
        <w:rPr>
          <w:rFonts w:ascii="Arial" w:cs="Arial" w:eastAsia="Arial" w:hAnsi="Arial"/>
          <w:color w:val="000000"/>
          <w:rtl w:val="0"/>
        </w:rPr>
        <w:t xml:space="preserve"> aprueba el orden del día.</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3E">
      <w:pPr>
        <w:widowControl w:val="1"/>
        <w:spacing w:line="276" w:lineRule="auto"/>
        <w:ind w:left="72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F">
      <w:pPr>
        <w:widowControl w:val="1"/>
        <w:numPr>
          <w:ilvl w:val="1"/>
          <w:numId w:val="2"/>
        </w:numPr>
        <w:pBdr>
          <w:top w:space="0" w:sz="0" w:val="nil"/>
          <w:left w:space="0" w:sz="0" w:val="nil"/>
          <w:bottom w:space="0" w:sz="0" w:val="nil"/>
          <w:right w:space="0" w:sz="0" w:val="nil"/>
          <w:between w:space="0" w:sz="0" w:val="nil"/>
        </w:pBdr>
        <w:spacing w:line="276" w:lineRule="auto"/>
        <w:ind w:left="426" w:hanging="360"/>
        <w:jc w:val="both"/>
        <w:rPr>
          <w:rFonts w:ascii="Arial" w:cs="Arial" w:eastAsia="Arial" w:hAnsi="Arial"/>
          <w:color w:val="000000"/>
        </w:rPr>
      </w:pPr>
      <w:r w:rsidDel="00000000" w:rsidR="00000000" w:rsidRPr="00000000">
        <w:rPr>
          <w:rFonts w:ascii="Arial" w:cs="Arial" w:eastAsia="Arial" w:hAnsi="Arial"/>
          <w:b w:val="1"/>
          <w:bCs w:val="1"/>
          <w:rtl w:val="0"/>
        </w:rPr>
        <w:t xml:space="preserve">Revisión de ejecución.</w:t>
      </w:r>
      <w:r w:rsidDel="00000000" w:rsidR="00000000" w:rsidRPr="00000000">
        <w:rPr>
          <w:rtl w:val="0"/>
        </w:rPr>
      </w:r>
    </w:p>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spacing w:line="276" w:lineRule="auto"/>
        <w:ind w:left="426" w:firstLine="0"/>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La directora Financiera de la ANA, Deisy Susana Burbano Rincón, presenta la ejecución presupuestal del convenio, el cual tiene vigencia hasta el 31 de diciembre, informando que se cuenta con la totalidad de la contratación realizada y que se encuentran pendientes únicamente los últimos pagos en trámite por gestión documental. Anexo: (Ejecución presupuestal - Convenio 768-2024 corte a diciembre </w:t>
      </w:r>
      <w:r w:rsidDel="00000000" w:rsidR="00000000" w:rsidRPr="00000000">
        <w:rPr>
          <w:rFonts w:ascii="Arial" w:cs="Arial" w:eastAsia="Arial" w:hAnsi="Arial"/>
          <w:rtl w:val="0"/>
        </w:rPr>
        <w:t xml:space="preserve">2025</w:t>
      </w:r>
      <w:r w:rsidDel="00000000" w:rsidR="00000000" w:rsidRPr="00000000">
        <w:rPr>
          <w:rtl w:val="0"/>
        </w:rPr>
      </w:r>
    </w:p>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 </w:t>
      </w:r>
      <w:hyperlink r:id="rId9">
        <w:r w:rsidDel="00000000" w:rsidR="00000000" w:rsidRPr="00000000">
          <w:rPr>
            <w:rFonts w:ascii="Arial" w:cs="Arial" w:eastAsia="Arial" w:hAnsi="Arial"/>
            <w:color w:val="0000ee"/>
            <w:u w:val="single"/>
            <w:rtl w:val="0"/>
          </w:rPr>
          <w:t xml:space="preserve">Anexo 1. Ejecución presupuestal - Convenio 768-2024 con corte a diciembre 2025.xlsx</w:t>
        </w:r>
      </w:hyperlink>
      <w:r w:rsidDel="00000000" w:rsidR="00000000" w:rsidRPr="00000000">
        <w:rPr>
          <w:rFonts w:ascii="Arial" w:cs="Arial" w:eastAsia="Arial" w:hAnsi="Arial"/>
          <w:rtl w:val="0"/>
        </w:rPr>
        <w:t xml:space="preserve">)</w:t>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Se detallan los principales componentes ejecutados:</w:t>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1) Honorarios</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Ejecutado al 100% conforme a la modificación aprobada en el Comité Operativo No. 10, atendiendo las necesidades de: coordinador de proyecto, cinco (5) </w:t>
      </w:r>
      <w:r w:rsidDel="00000000" w:rsidR="00000000" w:rsidRPr="00000000">
        <w:rPr>
          <w:rFonts w:ascii="Arial" w:cs="Arial" w:eastAsia="Arial" w:hAnsi="Arial"/>
          <w:rtl w:val="0"/>
        </w:rPr>
        <w:t xml:space="preserve">jurados</w:t>
      </w:r>
      <w:r w:rsidDel="00000000" w:rsidR="00000000" w:rsidRPr="00000000">
        <w:rPr>
          <w:rFonts w:ascii="Arial" w:cs="Arial" w:eastAsia="Arial" w:hAnsi="Arial"/>
          <w:rtl w:val="0"/>
        </w:rPr>
        <w:t xml:space="preserve">, presidente del jurado, jefe de sala, coordinador de hospitalidad y jurados de preselección, por un valor de $220.540.382, pagado en su totalidad. </w:t>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2) Agenda académica y masterclasses</w:t>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Incluye coordinador académico y logístico, transporte de artistas, logística de apoyo, productor de campo y asistentes, por valor de $35.400.000, pagado en su totalidad.</w:t>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3) Premios, obras y obras comisionadas</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Se otorgaron premios así: uno por $30.000 USD y dos premios de $20.000 USD; debido a una tasa de cambio favorable, los ganadores recibieron el valor neto establecido en la convocatoria, incluyendo los impuestos correspondientes.</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Este componente incluye además la obra comisionada, la adquisición de violines caucanos y validación de videos e inscripciones, por un total ejecutado de $364.328.137, comprometido y pagado en su totalidad. </w:t>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4) Comunicaciones y divulgación</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Incluye pauta digital por $28.547.457, publicaciones en medios especializados por $96.930.826 y traducción de documentos, medios web internacionales y streaming. Total ejecutado: $128.383.820, correspondiente al 100% del componente.</w:t>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5) Alimentación</w:t>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Este rubro fue aprobado en el Comité No. 10 por $39.416.386; valor ejecutado y pagado: $39.399.487, quedando un saldo a liberar de $16.899.</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6) Gastos administrativos y varios</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Incluye pólizas de aseguramiento de artistas internacionales y pólizas para el lanzamiento del concurso, por $5.538.958, ejecutado al 100%. </w:t>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Se informa que el total de actividades del convenio asciende a $793.230.765, más gastos administrativos del 7% por $56.752.</w:t>
      </w:r>
      <w:r w:rsidDel="00000000" w:rsidR="00000000" w:rsidRPr="00000000">
        <w:rPr>
          <w:rFonts w:ascii="Arial" w:cs="Arial" w:eastAsia="Arial" w:hAnsi="Arial"/>
          <w:rtl w:val="0"/>
        </w:rPr>
        <w:t xml:space="preserve">336</w:t>
      </w:r>
      <w:r w:rsidDel="00000000" w:rsidR="00000000" w:rsidRPr="00000000">
        <w:rPr>
          <w:rFonts w:ascii="Arial" w:cs="Arial" w:eastAsia="Arial" w:hAnsi="Arial"/>
          <w:rtl w:val="0"/>
        </w:rPr>
        <w:t xml:space="preserve">, para un total ejecutado de $849.983.102, quedando únicamente por liberar el saldo mencionado de alimentación (componente 5).</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Rendimientos financieros y contrapartida</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La contrapartida en especie aportada por la Asociación Nacional de las Artes – ANA- se ejecutó de manera adecuada y conforme a lo previsto, correspondiendo a la disposición efectiva de su equipo directivo, administrativo y técnico para el desarrollo del proyecto. Dicha contrapartida estuvo representada en las labores desarrolladas por los cargos de Director Ejecutivo, Director Jurídico, Director de Producción, Director Financiero y Contable, Director de Proyectos, Coordinador de Talento Humano, Director de Comunicaciones y Asesor Jurídico, por un valor total estimado de $50.917.751. Adicionalmente, la ANA causó recursos de contrapartida adicionales correspondientes a pagos de servicios, por un valor de $19.087.333, según se detalla y soporta en el anexo 1.</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Ante solicitud de la supervisión de la SCRD, la ANA informa que se generaron rendimientos financieros derivados del primer giro realizado por la SCRD, los cuales ya fueron consignados y serán integrados en el informe final de rendimientos.</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Así mismo, se deja constancia de que los gastos administrativos del 7% quedaron igualmente ejecutados.</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4. Proposiciones y varios.</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spacing w:line="276" w:lineRule="auto"/>
        <w:ind w:left="426" w:firstLine="0"/>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El delegado de la Subsecretaría de Gobernanza formula las siguientes recomendaciones:</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Consolidar el presupuesto inicial del anexo técnico frente a la ejecución final, garantizando trazabilidad histórica.</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Articular toda la soportabilidad documental como respaldo del archivo del convenio y del informe de supervisión.</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Verificar la carga completa de contratos y documentos en SECOP II.</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La supervisión solicita revisar que se encuentren cargadas todas las contrataciones en SECOP II</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Por su parte, el equipo de apoyo SCRD informa que se encuentran pendientes los informes de ejecución de octubre y noviembre, comprometiéndose la ANA a </w:t>
      </w:r>
      <w:r w:rsidDel="00000000" w:rsidR="00000000" w:rsidRPr="00000000">
        <w:rPr>
          <w:rFonts w:ascii="Arial" w:cs="Arial" w:eastAsia="Arial" w:hAnsi="Arial"/>
          <w:rtl w:val="0"/>
        </w:rPr>
        <w:t xml:space="preserve">radicarlos cuanto antes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La OFB solicita contar oportunamente con el informe y facturación para proceder al desembolso pendiente y evitar la constitución de reservas presupuestales, a lo cual la ANA manifiesta que, con la aprobación de la ejecución, iniciará de inmediato la radicación de informes y facturas.</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La Secretaría Técnica </w:t>
      </w:r>
      <w:r w:rsidDel="00000000" w:rsidR="00000000" w:rsidRPr="00000000">
        <w:rPr>
          <w:rFonts w:ascii="Arial" w:cs="Arial" w:eastAsia="Arial" w:hAnsi="Arial"/>
          <w:rtl w:val="0"/>
        </w:rPr>
        <w:t xml:space="preserve">agradeció</w:t>
      </w:r>
      <w:r w:rsidDel="00000000" w:rsidR="00000000" w:rsidRPr="00000000">
        <w:rPr>
          <w:rFonts w:ascii="Arial" w:cs="Arial" w:eastAsia="Arial" w:hAnsi="Arial"/>
          <w:color w:val="000000"/>
          <w:rtl w:val="0"/>
        </w:rPr>
        <w:t xml:space="preserve"> el compromiso de las partes y deja constancia de que la ejecución presentada evidencia el cumplimiento del objeto del convenio, destacando la necesidad de:</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Presentar el informe de rendimientos financieros.</w:t>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Consolidar presupuesto inicial vs. final.</w:t>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Radicar informes de octubre, noviembre y diciembre.</w:t>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Completar carga documental en SECOP II.</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b w:val="1"/>
          <w:bCs w:val="1"/>
        </w:rPr>
      </w:pPr>
      <w:r w:rsidDel="00000000" w:rsidR="00000000" w:rsidRPr="00000000">
        <w:rPr>
          <w:rFonts w:ascii="Arial" w:cs="Arial" w:eastAsia="Arial" w:hAnsi="Arial"/>
          <w:color w:val="000000"/>
          <w:rtl w:val="0"/>
        </w:rPr>
        <w:t xml:space="preserve">No existiendo más observaciones, se da por finalizada la sesión correspondiente al Acta No. 11 del Comité Técnico Operativo del Convenio 768 de 2024, quedando las partes en disposición de avanzar con el trámite de liquidación contractual.</w:t>
      </w:r>
      <w:r w:rsidDel="00000000" w:rsidR="00000000" w:rsidRPr="00000000">
        <w:rPr>
          <w:rtl w:val="0"/>
        </w:rPr>
      </w:r>
    </w:p>
    <w:p w:rsidR="00000000" w:rsidDel="00000000" w:rsidP="00000000" w:rsidRDefault="00000000" w:rsidRPr="00000000" w14:paraId="0000007B">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C">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D">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7E">
      <w:pPr>
        <w:jc w:val="both"/>
        <w:rPr>
          <w:rFonts w:ascii="Arial" w:cs="Arial" w:eastAsia="Arial" w:hAnsi="Arial"/>
        </w:rPr>
      </w:pPr>
      <w:r w:rsidDel="00000000" w:rsidR="00000000" w:rsidRPr="00000000">
        <w:rPr>
          <w:rFonts w:ascii="Arial" w:cs="Arial" w:eastAsia="Arial" w:hAnsi="Arial"/>
          <w:rtl w:val="0"/>
        </w:rPr>
        <w:t xml:space="preserve">___________________________</w:t>
        <w:tab/>
        <w:tab/>
        <w:t xml:space="preserve">__________________________</w:t>
      </w:r>
    </w:p>
    <w:p w:rsidR="00000000" w:rsidDel="00000000" w:rsidP="00000000" w:rsidRDefault="00000000" w:rsidRPr="00000000" w14:paraId="0000007F">
      <w:pPr>
        <w:jc w:val="both"/>
        <w:rPr>
          <w:rFonts w:ascii="Arial" w:cs="Arial" w:eastAsia="Arial" w:hAnsi="Arial"/>
          <w:b w:val="1"/>
          <w:bCs w:val="1"/>
        </w:rPr>
      </w:pPr>
      <w:r w:rsidDel="00000000" w:rsidR="00000000" w:rsidRPr="00000000">
        <w:rPr>
          <w:rFonts w:ascii="Arial" w:cs="Arial" w:eastAsia="Arial" w:hAnsi="Arial"/>
          <w:b w:val="1"/>
          <w:bCs w:val="1"/>
          <w:rtl w:val="0"/>
        </w:rPr>
        <w:t xml:space="preserve">Natalia Sefair López</w:t>
        <w:tab/>
        <w:tab/>
        <w:tab/>
        <w:tab/>
        <w:t xml:space="preserve">Hugo Jairo Robles</w:t>
      </w:r>
    </w:p>
    <w:p w:rsidR="00000000" w:rsidDel="00000000" w:rsidP="00000000" w:rsidRDefault="00000000" w:rsidRPr="00000000" w14:paraId="00000080">
      <w:pPr>
        <w:jc w:val="both"/>
        <w:rPr>
          <w:rFonts w:ascii="Arial" w:cs="Arial" w:eastAsia="Arial" w:hAnsi="Arial"/>
        </w:rPr>
      </w:pPr>
      <w:r w:rsidDel="00000000" w:rsidR="00000000" w:rsidRPr="00000000">
        <w:rPr>
          <w:rFonts w:ascii="Arial" w:cs="Arial" w:eastAsia="Arial" w:hAnsi="Arial"/>
          <w:rtl w:val="0"/>
        </w:rPr>
        <w:t xml:space="preserve">Supervisora y delegada</w:t>
        <w:tab/>
        <w:tab/>
        <w:tab/>
        <w:tab/>
        <w:t xml:space="preserve">Delegado de la Subsecretaría</w:t>
      </w:r>
    </w:p>
    <w:p w:rsidR="00000000" w:rsidDel="00000000" w:rsidP="00000000" w:rsidRDefault="00000000" w:rsidRPr="00000000" w14:paraId="00000081">
      <w:pPr>
        <w:jc w:val="both"/>
        <w:rPr>
          <w:rFonts w:ascii="Arial" w:cs="Arial" w:eastAsia="Arial" w:hAnsi="Arial"/>
        </w:rPr>
      </w:pPr>
      <w:r w:rsidDel="00000000" w:rsidR="00000000" w:rsidRPr="00000000">
        <w:rPr>
          <w:rFonts w:ascii="Arial" w:cs="Arial" w:eastAsia="Arial" w:hAnsi="Arial"/>
          <w:rtl w:val="0"/>
        </w:rPr>
        <w:t xml:space="preserve">por parte del Secretario de Cultura</w:t>
        <w:tab/>
        <w:tab/>
        <w:t xml:space="preserve">de Gobernanza</w:t>
      </w:r>
    </w:p>
    <w:p w:rsidR="00000000" w:rsidDel="00000000" w:rsidP="00000000" w:rsidRDefault="00000000" w:rsidRPr="00000000" w14:paraId="00000082">
      <w:pPr>
        <w:jc w:val="both"/>
        <w:rPr>
          <w:rFonts w:ascii="Arial" w:cs="Arial" w:eastAsia="Arial" w:hAnsi="Arial"/>
        </w:rPr>
      </w:pPr>
      <w:r w:rsidDel="00000000" w:rsidR="00000000" w:rsidRPr="00000000">
        <w:rPr>
          <w:rFonts w:ascii="Arial" w:cs="Arial" w:eastAsia="Arial" w:hAnsi="Arial"/>
          <w:rtl w:val="0"/>
        </w:rPr>
        <w:t xml:space="preserve">SCRD</w:t>
        <w:tab/>
        <w:tab/>
        <w:tab/>
        <w:tab/>
        <w:tab/>
        <w:tab/>
        <w:tab/>
        <w:t xml:space="preserve">SCRD</w:t>
      </w:r>
    </w:p>
    <w:p w:rsidR="00000000" w:rsidDel="00000000" w:rsidP="00000000" w:rsidRDefault="00000000" w:rsidRPr="00000000" w14:paraId="00000083">
      <w:pPr>
        <w:jc w:val="both"/>
        <w:rPr>
          <w:rFonts w:ascii="Arial" w:cs="Arial" w:eastAsia="Arial" w:hAnsi="Arial"/>
        </w:rPr>
      </w:pPr>
      <w:r w:rsidDel="00000000" w:rsidR="00000000" w:rsidRPr="00000000">
        <w:rPr>
          <w:rtl w:val="0"/>
        </w:rPr>
      </w:r>
    </w:p>
    <w:p w:rsidR="00000000" w:rsidDel="00000000" w:rsidP="00000000" w:rsidRDefault="00000000" w:rsidRPr="00000000" w14:paraId="00000084">
      <w:pPr>
        <w:jc w:val="both"/>
        <w:rPr>
          <w:rFonts w:ascii="Arial" w:cs="Arial" w:eastAsia="Arial" w:hAnsi="Arial"/>
        </w:rPr>
      </w:pPr>
      <w:r w:rsidDel="00000000" w:rsidR="00000000" w:rsidRPr="00000000">
        <w:rPr>
          <w:rtl w:val="0"/>
        </w:rPr>
      </w:r>
    </w:p>
    <w:p w:rsidR="00000000" w:rsidDel="00000000" w:rsidP="00000000" w:rsidRDefault="00000000" w:rsidRPr="00000000" w14:paraId="00000085">
      <w:pPr>
        <w:jc w:val="both"/>
        <w:rPr>
          <w:rFonts w:ascii="Arial" w:cs="Arial" w:eastAsia="Arial" w:hAnsi="Arial"/>
        </w:rPr>
      </w:pPr>
      <w:r w:rsidDel="00000000" w:rsidR="00000000" w:rsidRPr="00000000">
        <w:rPr>
          <w:rFonts w:ascii="Arial" w:cs="Arial" w:eastAsia="Arial" w:hAnsi="Arial"/>
          <w:rtl w:val="0"/>
        </w:rPr>
        <w:t xml:space="preserve">___________________________</w:t>
        <w:tab/>
        <w:tab/>
        <w:t xml:space="preserve">__________________________</w:t>
      </w:r>
    </w:p>
    <w:p w:rsidR="00000000" w:rsidDel="00000000" w:rsidP="00000000" w:rsidRDefault="00000000" w:rsidRPr="00000000" w14:paraId="00000086">
      <w:pPr>
        <w:jc w:val="both"/>
        <w:rPr>
          <w:rFonts w:ascii="Arial" w:cs="Arial" w:eastAsia="Arial" w:hAnsi="Arial"/>
          <w:b w:val="1"/>
          <w:bCs w:val="1"/>
        </w:rPr>
      </w:pPr>
      <w:r w:rsidDel="00000000" w:rsidR="00000000" w:rsidRPr="00000000">
        <w:rPr>
          <w:rFonts w:ascii="Arial" w:cs="Arial" w:eastAsia="Arial" w:hAnsi="Arial"/>
          <w:b w:val="1"/>
          <w:bCs w:val="1"/>
          <w:rtl w:val="0"/>
        </w:rPr>
        <w:t xml:space="preserve">Antonio Suárez</w:t>
        <w:tab/>
        <w:tab/>
        <w:tab/>
        <w:tab/>
        <w:tab/>
        <w:t xml:space="preserve">José Alberto Arroyo Valencia</w:t>
      </w:r>
    </w:p>
    <w:p w:rsidR="00000000" w:rsidDel="00000000" w:rsidP="00000000" w:rsidRDefault="00000000" w:rsidRPr="00000000" w14:paraId="00000087">
      <w:pPr>
        <w:jc w:val="both"/>
        <w:rPr>
          <w:rFonts w:ascii="Arial" w:cs="Arial" w:eastAsia="Arial" w:hAnsi="Arial"/>
        </w:rPr>
      </w:pPr>
      <w:r w:rsidDel="00000000" w:rsidR="00000000" w:rsidRPr="00000000">
        <w:rPr>
          <w:rFonts w:ascii="Arial" w:cs="Arial" w:eastAsia="Arial" w:hAnsi="Arial"/>
          <w:rtl w:val="0"/>
        </w:rPr>
        <w:t xml:space="preserve">Presidente</w:t>
        <w:tab/>
        <w:tab/>
        <w:tab/>
        <w:tab/>
        <w:tab/>
        <w:tab/>
        <w:t xml:space="preserve">Director Filarmónico </w:t>
      </w:r>
    </w:p>
    <w:p w:rsidR="00000000" w:rsidDel="00000000" w:rsidP="00000000" w:rsidRDefault="00000000" w:rsidRPr="00000000" w14:paraId="00000088">
      <w:pPr>
        <w:jc w:val="both"/>
        <w:rPr>
          <w:rFonts w:ascii="Arial" w:cs="Arial" w:eastAsia="Arial" w:hAnsi="Arial"/>
        </w:rPr>
      </w:pPr>
      <w:r w:rsidDel="00000000" w:rsidR="00000000" w:rsidRPr="00000000">
        <w:rPr>
          <w:rFonts w:ascii="Arial" w:cs="Arial" w:eastAsia="Arial" w:hAnsi="Arial"/>
          <w:rtl w:val="0"/>
        </w:rPr>
        <w:t xml:space="preserve">Asociación Nacional de las Artes</w:t>
        <w:tab/>
        <w:tab/>
        <w:t xml:space="preserve"> </w:t>
        <w:tab/>
        <w:t xml:space="preserve">Orquesta Filarmónica de Bogotá</w:t>
      </w:r>
    </w:p>
    <w:p w:rsidR="00000000" w:rsidDel="00000000" w:rsidP="00000000" w:rsidRDefault="00000000" w:rsidRPr="00000000" w14:paraId="00000089">
      <w:pPr>
        <w:ind w:left="360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08A">
      <w:pPr>
        <w:jc w:val="both"/>
        <w:rPr>
          <w:rFonts w:ascii="Arial" w:cs="Arial" w:eastAsia="Arial" w:hAnsi="Arial"/>
        </w:rPr>
      </w:pPr>
      <w:r w:rsidDel="00000000" w:rsidR="00000000" w:rsidRPr="00000000">
        <w:rPr>
          <w:rFonts w:ascii="Arial" w:cs="Arial" w:eastAsia="Arial" w:hAnsi="Arial"/>
          <w:rtl w:val="0"/>
        </w:rPr>
        <w:tab/>
        <w:tab/>
      </w:r>
    </w:p>
    <w:p w:rsidR="00000000" w:rsidDel="00000000" w:rsidP="00000000" w:rsidRDefault="00000000" w:rsidRPr="00000000" w14:paraId="0000008B">
      <w:pPr>
        <w:jc w:val="both"/>
        <w:rPr>
          <w:rFonts w:ascii="Arial" w:cs="Arial" w:eastAsia="Arial" w:hAnsi="Arial"/>
        </w:rPr>
      </w:pPr>
      <w:r w:rsidDel="00000000" w:rsidR="00000000" w:rsidRPr="00000000">
        <w:rPr>
          <w:rtl w:val="0"/>
        </w:rPr>
      </w:r>
    </w:p>
    <w:p w:rsidR="00000000" w:rsidDel="00000000" w:rsidP="00000000" w:rsidRDefault="00000000" w:rsidRPr="00000000" w14:paraId="0000008C">
      <w:pPr>
        <w:jc w:val="both"/>
        <w:rPr>
          <w:rFonts w:ascii="Arial" w:cs="Arial" w:eastAsia="Arial" w:hAnsi="Arial"/>
        </w:rPr>
      </w:pPr>
      <w:r w:rsidDel="00000000" w:rsidR="00000000" w:rsidRPr="00000000">
        <w:rPr>
          <w:rtl w:val="0"/>
        </w:rPr>
      </w:r>
    </w:p>
    <w:p w:rsidR="00000000" w:rsidDel="00000000" w:rsidP="00000000" w:rsidRDefault="00000000" w:rsidRPr="00000000" w14:paraId="0000008D">
      <w:pPr>
        <w:jc w:val="both"/>
        <w:rPr>
          <w:rFonts w:ascii="Arial" w:cs="Arial" w:eastAsia="Arial" w:hAnsi="Arial"/>
        </w:rPr>
      </w:pPr>
      <w:r w:rsidDel="00000000" w:rsidR="00000000" w:rsidRPr="00000000">
        <w:rPr>
          <w:rFonts w:ascii="Arial" w:cs="Arial" w:eastAsia="Arial" w:hAnsi="Arial"/>
          <w:rtl w:val="0"/>
        </w:rPr>
        <w:t xml:space="preserve">___________________________</w:t>
        <w:tab/>
        <w:tab/>
      </w:r>
    </w:p>
    <w:p w:rsidR="00000000" w:rsidDel="00000000" w:rsidP="00000000" w:rsidRDefault="00000000" w:rsidRPr="00000000" w14:paraId="0000008E">
      <w:pPr>
        <w:jc w:val="both"/>
        <w:rPr>
          <w:rFonts w:ascii="Arial" w:cs="Arial" w:eastAsia="Arial" w:hAnsi="Arial"/>
          <w:b w:val="1"/>
          <w:bCs w:val="1"/>
        </w:rPr>
      </w:pPr>
      <w:r w:rsidDel="00000000" w:rsidR="00000000" w:rsidRPr="00000000">
        <w:rPr>
          <w:rFonts w:ascii="Arial" w:cs="Arial" w:eastAsia="Arial" w:hAnsi="Arial"/>
          <w:b w:val="1"/>
          <w:bCs w:val="1"/>
          <w:rtl w:val="0"/>
        </w:rPr>
        <w:t xml:space="preserve">Adriana González Hassig</w:t>
      </w:r>
    </w:p>
    <w:p w:rsidR="00000000" w:rsidDel="00000000" w:rsidP="00000000" w:rsidRDefault="00000000" w:rsidRPr="00000000" w14:paraId="0000008F">
      <w:pPr>
        <w:jc w:val="both"/>
        <w:rPr>
          <w:rFonts w:ascii="Arial" w:cs="Arial" w:eastAsia="Arial" w:hAnsi="Arial"/>
          <w:color w:val="000000"/>
        </w:rPr>
      </w:pPr>
      <w:r w:rsidDel="00000000" w:rsidR="00000000" w:rsidRPr="00000000">
        <w:rPr>
          <w:rFonts w:ascii="Arial" w:cs="Arial" w:eastAsia="Arial" w:hAnsi="Arial"/>
          <w:rtl w:val="0"/>
        </w:rPr>
        <w:t xml:space="preserve">Secretaría Técnica</w:t>
      </w:r>
      <w:r w:rsidDel="00000000" w:rsidR="00000000" w:rsidRPr="00000000">
        <w:rPr>
          <w:rtl w:val="0"/>
        </w:rPr>
      </w:r>
    </w:p>
    <w:p w:rsidR="00000000" w:rsidDel="00000000" w:rsidP="00000000" w:rsidRDefault="00000000" w:rsidRPr="00000000" w14:paraId="00000090">
      <w:pPr>
        <w:widowControl w:val="1"/>
        <w:jc w:val="both"/>
        <w:rPr>
          <w:rFonts w:ascii="Arial" w:cs="Arial" w:eastAsia="Arial" w:hAnsi="Arial"/>
          <w:sz w:val="12"/>
          <w:szCs w:val="12"/>
        </w:rPr>
      </w:pPr>
      <w:r w:rsidDel="00000000" w:rsidR="00000000" w:rsidRPr="00000000">
        <w:rPr>
          <w:rFonts w:ascii="Arial" w:cs="Arial" w:eastAsia="Arial" w:hAnsi="Arial"/>
          <w:color w:val="000000"/>
          <w:sz w:val="12"/>
          <w:szCs w:val="12"/>
          <w:rtl w:val="0"/>
        </w:rPr>
        <w:t xml:space="preserve">Proyectó: Nilson Sánchez - Subsecretaría de Gobernanza</w:t>
      </w:r>
      <w:r w:rsidDel="00000000" w:rsidR="00000000" w:rsidRPr="00000000">
        <w:rPr>
          <w:rtl w:val="0"/>
        </w:rPr>
      </w:r>
    </w:p>
    <w:p w:rsidR="00000000" w:rsidDel="00000000" w:rsidP="00000000" w:rsidRDefault="00000000" w:rsidRPr="00000000" w14:paraId="00000091">
      <w:pPr>
        <w:widowControl w:val="1"/>
        <w:jc w:val="both"/>
        <w:rPr>
          <w:rFonts w:ascii="Arial" w:cs="Arial" w:eastAsia="Arial" w:hAnsi="Arial"/>
          <w:sz w:val="12"/>
          <w:szCs w:val="12"/>
        </w:rPr>
      </w:pPr>
      <w:r w:rsidDel="00000000" w:rsidR="00000000" w:rsidRPr="00000000">
        <w:rPr>
          <w:rFonts w:ascii="Arial" w:cs="Arial" w:eastAsia="Arial" w:hAnsi="Arial"/>
          <w:color w:val="000000"/>
          <w:sz w:val="12"/>
          <w:szCs w:val="12"/>
          <w:rtl w:val="0"/>
        </w:rPr>
        <w:t xml:space="preserve">Revisó: Adriana Gonzalez - Subsecretaría de Gobernanza</w:t>
      </w: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5840" w:w="12240" w:orient="portrait"/>
      <w:pgMar w:bottom="1134" w:top="2716" w:left="1701" w:right="1701" w:header="1418"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987"/>
        <w:tab w:val="right" w:leader="none" w:pos="997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883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519"/>
      <w:gridCol w:w="1444"/>
      <w:gridCol w:w="2703"/>
      <w:gridCol w:w="1172"/>
      <w:tblGridChange w:id="0">
        <w:tblGrid>
          <w:gridCol w:w="3519"/>
          <w:gridCol w:w="1444"/>
          <w:gridCol w:w="2703"/>
          <w:gridCol w:w="1172"/>
        </w:tblGrid>
      </w:tblGridChange>
    </w:tblGrid>
    <w:tr>
      <w:trPr>
        <w:cantSplit w:val="0"/>
        <w:tblHeader w:val="0"/>
      </w:trPr>
      <w:tc>
        <w:tcPr/>
        <w:p w:rsidR="00000000" w:rsidDel="00000000" w:rsidP="00000000" w:rsidRDefault="00000000" w:rsidRPr="00000000" w14:paraId="00000097">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Carrera 8ª No. 9 - 83 Centro</w:t>
          </w:r>
        </w:p>
        <w:p w:rsidR="00000000" w:rsidDel="00000000" w:rsidP="00000000" w:rsidRDefault="00000000" w:rsidRPr="00000000" w14:paraId="00000098">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Tel. 3274850</w:t>
          </w:r>
        </w:p>
        <w:p w:rsidR="00000000" w:rsidDel="00000000" w:rsidP="00000000" w:rsidRDefault="00000000" w:rsidRPr="00000000" w14:paraId="00000099">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Código Postal: 111711</w:t>
          </w:r>
        </w:p>
        <w:p w:rsidR="00000000" w:rsidDel="00000000" w:rsidP="00000000" w:rsidRDefault="00000000" w:rsidRPr="00000000" w14:paraId="0000009A">
          <w:pPr>
            <w:tabs>
              <w:tab w:val="center" w:leader="none" w:pos="4419"/>
              <w:tab w:val="right" w:leader="none" w:pos="8838"/>
            </w:tabs>
            <w:rPr>
              <w:color w:val="0563c1"/>
              <w:sz w:val="18"/>
              <w:szCs w:val="18"/>
              <w:u w:val="single"/>
            </w:rPr>
          </w:pPr>
          <w:hyperlink r:id="rId1">
            <w:r w:rsidDel="00000000" w:rsidR="00000000" w:rsidRPr="00000000">
              <w:rPr>
                <w:color w:val="0563c1"/>
                <w:sz w:val="18"/>
                <w:szCs w:val="18"/>
                <w:u w:val="single"/>
                <w:rtl w:val="0"/>
              </w:rPr>
              <w:t xml:space="preserve">www.culturarecreacionydeporte.gov.co</w:t>
            </w:r>
          </w:hyperlink>
          <w:r w:rsidDel="00000000" w:rsidR="00000000" w:rsidRPr="00000000">
            <w:rPr>
              <w:rtl w:val="0"/>
            </w:rPr>
          </w:r>
        </w:p>
        <w:p w:rsidR="00000000" w:rsidDel="00000000" w:rsidP="00000000" w:rsidRDefault="00000000" w:rsidRPr="00000000" w14:paraId="0000009B">
          <w:pPr>
            <w:tabs>
              <w:tab w:val="center" w:leader="none" w:pos="4419"/>
              <w:tab w:val="right" w:leader="none" w:pos="8838"/>
            </w:tabs>
            <w:rPr>
              <w:color w:val="000000"/>
            </w:rPr>
          </w:pPr>
          <w:r w:rsidDel="00000000" w:rsidR="00000000" w:rsidRPr="00000000">
            <w:rPr>
              <w:color w:val="000000"/>
              <w:sz w:val="18"/>
              <w:szCs w:val="18"/>
              <w:rtl w:val="0"/>
            </w:rPr>
            <w:t xml:space="preserve">Información: Línea 195</w:t>
          </w:r>
          <w:r w:rsidDel="00000000" w:rsidR="00000000" w:rsidRPr="00000000">
            <w:rPr>
              <w:rtl w:val="0"/>
            </w:rPr>
          </w:r>
        </w:p>
      </w:tc>
      <w:tc>
        <w:tcPr/>
        <w:p w:rsidR="00000000" w:rsidDel="00000000" w:rsidP="00000000" w:rsidRDefault="00000000" w:rsidRPr="00000000" w14:paraId="0000009C">
          <w:pPr>
            <w:rPr>
              <w:sz w:val="18"/>
              <w:szCs w:val="18"/>
            </w:rPr>
          </w:pPr>
          <w:r w:rsidDel="00000000" w:rsidR="00000000" w:rsidRPr="00000000">
            <w:rPr>
              <w:rtl w:val="0"/>
            </w:rPr>
          </w:r>
        </w:p>
        <w:p w:rsidR="00000000" w:rsidDel="00000000" w:rsidP="00000000" w:rsidRDefault="00000000" w:rsidRPr="00000000" w14:paraId="0000009D">
          <w:pPr>
            <w:rPr>
              <w:sz w:val="18"/>
              <w:szCs w:val="18"/>
            </w:rPr>
          </w:pPr>
          <w:r w:rsidDel="00000000" w:rsidR="00000000" w:rsidRPr="00000000">
            <w:rPr>
              <w:color w:val="595959"/>
              <w:sz w:val="12"/>
              <w:szCs w:val="12"/>
              <w:rtl w:val="0"/>
            </w:rPr>
            <w:t xml:space="preserve">     </w:t>
          </w:r>
          <w:r w:rsidDel="00000000" w:rsidR="00000000" w:rsidRPr="00000000">
            <w:rPr>
              <w:rtl w:val="0"/>
            </w:rPr>
          </w:r>
        </w:p>
      </w:tc>
      <w:tc>
        <w:tcPr/>
        <w:p w:rsidR="00000000" w:rsidDel="00000000" w:rsidP="00000000" w:rsidRDefault="00000000" w:rsidRPr="00000000" w14:paraId="0000009E">
          <w:pPr>
            <w:jc w:val="center"/>
            <w:rPr>
              <w:rFonts w:ascii="Arial" w:cs="Arial" w:eastAsia="Arial" w:hAnsi="Arial"/>
              <w:b w:val="1"/>
              <w:bCs w:val="1"/>
              <w:color w:val="000000"/>
              <w:sz w:val="14"/>
              <w:szCs w:val="14"/>
            </w:rPr>
          </w:pPr>
          <w:r w:rsidDel="00000000" w:rsidR="00000000" w:rsidRPr="00000000">
            <w:rPr>
              <w:rFonts w:ascii="Arial" w:cs="Arial" w:eastAsia="Arial" w:hAnsi="Arial"/>
              <w:color w:val="000000"/>
              <w:sz w:val="14"/>
              <w:szCs w:val="14"/>
              <w:rtl w:val="0"/>
            </w:rPr>
            <w:t xml:space="preserve">Página </w:t>
          </w:r>
          <w:r w:rsidDel="00000000" w:rsidR="00000000" w:rsidRPr="00000000">
            <w:rPr>
              <w:rFonts w:ascii="Arial" w:cs="Arial" w:eastAsia="Arial" w:hAnsi="Arial"/>
              <w:b w:val="1"/>
              <w:bCs w:val="1"/>
              <w:color w:val="000000"/>
              <w:sz w:val="14"/>
              <w:szCs w:val="14"/>
            </w:rPr>
            <w:fldChar w:fldCharType="begin"/>
            <w:instrText xml:space="preserve">PAGE</w:instrText>
            <w:fldChar w:fldCharType="separate"/>
            <w:fldChar w:fldCharType="end"/>
          </w:r>
          <w:r w:rsidDel="00000000" w:rsidR="00000000" w:rsidRPr="00000000">
            <w:rPr>
              <w:rFonts w:ascii="Arial" w:cs="Arial" w:eastAsia="Arial" w:hAnsi="Arial"/>
              <w:color w:val="000000"/>
              <w:sz w:val="14"/>
              <w:szCs w:val="14"/>
              <w:rtl w:val="0"/>
            </w:rPr>
            <w:t xml:space="preserve"> de </w:t>
          </w:r>
          <w:r w:rsidDel="00000000" w:rsidR="00000000" w:rsidRPr="00000000">
            <w:rPr>
              <w:rFonts w:ascii="Arial" w:cs="Arial" w:eastAsia="Arial" w:hAnsi="Arial"/>
              <w:b w:val="1"/>
              <w:bCs w:val="1"/>
              <w:color w:val="000000"/>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F">
          <w:pPr>
            <w:jc w:val="center"/>
            <w:rPr>
              <w:sz w:val="14"/>
              <w:szCs w:val="14"/>
            </w:rPr>
          </w:pPr>
          <w:r w:rsidDel="00000000" w:rsidR="00000000" w:rsidRPr="00000000">
            <w:rPr>
              <w:rFonts w:ascii="Arial" w:cs="Arial" w:eastAsia="Arial" w:hAnsi="Arial"/>
              <w:sz w:val="14"/>
              <w:szCs w:val="14"/>
              <w:rtl w:val="0"/>
            </w:rPr>
            <w:t xml:space="preserve">GMC-MN-01-FR-03. v.1.23 /03/2023</w:t>
          </w:r>
          <w:r w:rsidDel="00000000" w:rsidR="00000000" w:rsidRPr="00000000">
            <w:rPr>
              <w:rtl w:val="0"/>
            </w:rPr>
          </w:r>
        </w:p>
      </w:tc>
      <w:tc>
        <w:tcPr/>
        <w:p w:rsidR="00000000" w:rsidDel="00000000" w:rsidP="00000000" w:rsidRDefault="00000000" w:rsidRPr="00000000" w14:paraId="000000A0">
          <w:pPr>
            <w:tabs>
              <w:tab w:val="center" w:leader="none" w:pos="4419"/>
              <w:tab w:val="right" w:leader="none" w:pos="8838"/>
            </w:tabs>
            <w:jc w:val="center"/>
            <w:rPr>
              <w:color w:val="000000"/>
            </w:rPr>
          </w:pPr>
          <w:r w:rsidDel="00000000" w:rsidR="00000000" w:rsidRPr="00000000">
            <w:rPr>
              <w:color w:val="000000"/>
            </w:rPr>
            <w:drawing>
              <wp:inline distB="0" distT="0" distL="0" distR="0">
                <wp:extent cx="489755" cy="584985"/>
                <wp:effectExtent b="0" l="0" r="0" t="0"/>
                <wp:docPr id="6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489755" cy="584985"/>
                        </a:xfrm>
                        <a:prstGeom prst="rect"/>
                        <a:ln/>
                      </pic:spPr>
                    </pic:pic>
                  </a:graphicData>
                </a:graphic>
              </wp:inline>
            </w:drawing>
          </w:r>
          <w:r w:rsidDel="00000000" w:rsidR="00000000" w:rsidRPr="00000000">
            <w:rPr>
              <w:rtl w:val="0"/>
            </w:rPr>
          </w:r>
        </w:p>
        <w:p w:rsidR="00000000" w:rsidDel="00000000" w:rsidP="00000000" w:rsidRDefault="00000000" w:rsidRPr="00000000" w14:paraId="000000A1">
          <w:pPr>
            <w:tabs>
              <w:tab w:val="center" w:leader="none" w:pos="4419"/>
              <w:tab w:val="right" w:leader="none" w:pos="8838"/>
            </w:tabs>
            <w:jc w:val="center"/>
            <w:rPr>
              <w:color w:val="000000"/>
              <w:sz w:val="12"/>
              <w:szCs w:val="12"/>
            </w:rPr>
          </w:pPr>
          <w:r w:rsidDel="00000000" w:rsidR="00000000" w:rsidRPr="00000000">
            <w:rPr>
              <w:color w:val="000000"/>
              <w:sz w:val="12"/>
              <w:szCs w:val="12"/>
              <w:rtl w:val="0"/>
            </w:rPr>
            <w:t xml:space="preserve">ALCALDÍA MAYOR</w:t>
          </w:r>
        </w:p>
        <w:p w:rsidR="00000000" w:rsidDel="00000000" w:rsidP="00000000" w:rsidRDefault="00000000" w:rsidRPr="00000000" w14:paraId="000000A2">
          <w:pPr>
            <w:tabs>
              <w:tab w:val="center" w:leader="none" w:pos="4419"/>
              <w:tab w:val="right" w:leader="none" w:pos="8838"/>
            </w:tabs>
            <w:jc w:val="center"/>
            <w:rPr>
              <w:color w:val="000000"/>
            </w:rPr>
          </w:pPr>
          <w:r w:rsidDel="00000000" w:rsidR="00000000" w:rsidRPr="00000000">
            <w:rPr>
              <w:color w:val="000000"/>
              <w:sz w:val="12"/>
              <w:szCs w:val="12"/>
              <w:rtl w:val="0"/>
            </w:rPr>
            <w:t xml:space="preserve">DE BOGOTÁ D.C.</w:t>
          </w:r>
          <w:r w:rsidDel="00000000" w:rsidR="00000000" w:rsidRPr="00000000">
            <w:rPr>
              <w:rtl w:val="0"/>
            </w:rPr>
          </w:r>
        </w:p>
      </w:tc>
    </w:tr>
  </w:tbl>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987"/>
        <w:tab w:val="right" w:leader="none" w:pos="9974"/>
      </w:tabs>
      <w:rPr>
        <w:rFonts w:ascii="Times New Roman" w:cs="Times New Roman" w:eastAsia="Times New Roman" w:hAnsi="Times New Roman"/>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leader="none" w:pos="4987"/>
        <w:tab w:val="right" w:leader="none" w:pos="997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4252"/>
        <w:tab w:val="right" w:leader="none" w:pos="8504"/>
      </w:tabs>
      <w:spacing w:line="360" w:lineRule="auto"/>
      <w:jc w:val="center"/>
      <w:rPr>
        <w:rFonts w:ascii="Arial" w:cs="Arial" w:eastAsia="Arial" w:hAnsi="Arial"/>
        <w:color w:val="000000"/>
      </w:rPr>
    </w:pPr>
    <w:r w:rsidDel="00000000" w:rsidR="00000000" w:rsidRPr="00000000">
      <w:rPr>
        <w:rFonts w:ascii="Arial" w:cs="Arial" w:eastAsia="Arial" w:hAnsi="Arial"/>
        <w:b w:val="1"/>
        <w:bCs w:val="1"/>
        <w:color w:val="000000"/>
        <w:sz w:val="26"/>
        <w:szCs w:val="26"/>
        <w:rtl w:val="0"/>
      </w:rPr>
      <w:t xml:space="preserve">ACTA # 11- Comité Técnico Operativo del Convenio 768 de 2024 Concurso Internacional de Violín Ciudad de Bogotá 2025</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1467349</wp:posOffset>
          </wp:positionH>
          <wp:positionV relativeFrom="paragraph">
            <wp:posOffset>-705478</wp:posOffset>
          </wp:positionV>
          <wp:extent cx="2677431" cy="615501"/>
          <wp:effectExtent b="0" l="0" r="0" t="0"/>
          <wp:wrapNone/>
          <wp:docPr id="6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677431" cy="615501"/>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3"/>
      <w:numFmt w:val="decimal"/>
      <w:lvlText w:val="%2."/>
      <w:lvlJc w:val="left"/>
      <w:pPr>
        <w:ind w:left="360" w:hanging="360"/>
      </w:pPr>
      <w:rPr>
        <w:b w:val="1"/>
        <w:bCs w:val="1"/>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line="480" w:lineRule="auto"/>
      <w:jc w:val="center"/>
    </w:pPr>
    <w:rPr>
      <w:rFonts w:ascii="Arial" w:cs="Arial" w:eastAsia="Arial" w:hAnsi="Arial"/>
      <w:b w:val="1"/>
      <w:bCs w:val="1"/>
      <w:color w:val="000000"/>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pPr>
    <w:rPr>
      <w:rFonts w:ascii="Arial" w:cs="Arial" w:eastAsia="Arial" w:hAnsi="Arial"/>
      <w:b w:val="1"/>
      <w:bCs w:val="1"/>
      <w:color w:val="000000"/>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color w:val="000000"/>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5">
    <w:name w:val="heading 5"/>
    <w:basedOn w:val="Normal"/>
    <w:next w:val="Normal"/>
    <w:pPr>
      <w:keepNext w:val="1"/>
      <w:pBdr>
        <w:top w:space="0" w:sz="0" w:val="nil"/>
        <w:left w:space="0" w:sz="0" w:val="nil"/>
        <w:bottom w:space="0" w:sz="0" w:val="nil"/>
        <w:right w:space="0" w:sz="0" w:val="nil"/>
        <w:between w:space="0" w:sz="0" w:val="nil"/>
      </w:pBdr>
      <w:jc w:val="both"/>
    </w:pPr>
    <w:rPr>
      <w:rFonts w:ascii="Times New Roman" w:cs="Times New Roman" w:eastAsia="Times New Roman" w:hAnsi="Times New Roman"/>
      <w:b w:val="1"/>
      <w:bCs w:val="1"/>
      <w:color w:val="000000"/>
      <w:sz w:val="12"/>
      <w:szCs w:val="12"/>
    </w:rPr>
  </w:style>
  <w:style w:type="paragraph" w:styleId="Heading6">
    <w:name w:val="heading 6"/>
    <w:basedOn w:val="Normal"/>
    <w:next w:val="Normal"/>
    <w:pPr>
      <w:keepNext w:val="1"/>
      <w:pBdr>
        <w:top w:space="0" w:sz="0" w:val="nil"/>
        <w:left w:space="0" w:sz="0" w:val="nil"/>
        <w:bottom w:space="0" w:sz="0" w:val="nil"/>
        <w:right w:space="0" w:sz="0" w:val="nil"/>
        <w:between w:space="0" w:sz="0" w:val="nil"/>
      </w:pBdr>
    </w:pPr>
    <w:rPr>
      <w:rFonts w:ascii="Tahoma" w:cs="Tahoma" w:eastAsia="Tahoma" w:hAnsi="Tahoma"/>
      <w:color w:val="00000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Normal"/>
    <w:tblPr>
      <w:tblCellMar>
        <w:top w:w="0.0" w:type="dxa"/>
        <w:left w:w="0.0" w:type="dxa"/>
        <w:bottom w:w="0.0" w:type="dxa"/>
        <w:right w:w="0.0" w:type="dxa"/>
      </w:tblCellMar>
    </w:tblPr>
  </w:style>
  <w:style w:type="table" w:styleId="TableNormal5" w:customStyle="1">
    <w:name w:val="TableNormal"/>
    <w:tblPr>
      <w:tblCellMar>
        <w:top w:w="0.0" w:type="dxa"/>
        <w:left w:w="0.0" w:type="dxa"/>
        <w:bottom w:w="0.0" w:type="dxa"/>
        <w:right w:w="0.0" w:type="dxa"/>
      </w:tblCellMar>
    </w:tblPr>
  </w:style>
  <w:style w:type="table" w:styleId="TableNormal6" w:customStyle="1">
    <w:name w:val="Table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table" w:styleId="TableNormala" w:customStyle="1">
    <w:name w:val="Table Normal"/>
    <w:tblPr>
      <w:tblCellMar>
        <w:top w:w="0.0" w:type="dxa"/>
        <w:left w:w="0.0" w:type="dxa"/>
        <w:bottom w:w="0.0" w:type="dxa"/>
        <w:right w:w="0.0" w:type="dxa"/>
      </w:tblCellMar>
    </w:tblPr>
  </w:style>
  <w:style w:type="table" w:styleId="TableNormalb" w:customStyle="1">
    <w:name w:val="Table Normal"/>
    <w:tblPr>
      <w:tblCellMar>
        <w:top w:w="0.0" w:type="dxa"/>
        <w:left w:w="0.0" w:type="dxa"/>
        <w:bottom w:w="0.0" w:type="dxa"/>
        <w:right w:w="0.0" w:type="dxa"/>
      </w:tblCellMar>
    </w:tblPr>
  </w:style>
  <w:style w:type="table" w:styleId="TableNormalc" w:customStyle="1">
    <w:name w:val="Table Normal"/>
    <w:tblPr>
      <w:tblCellMar>
        <w:top w:w="0.0" w:type="dxa"/>
        <w:left w:w="0.0" w:type="dxa"/>
        <w:bottom w:w="0.0" w:type="dxa"/>
        <w:right w:w="0.0" w:type="dxa"/>
      </w:tblCellMar>
    </w:tblPr>
  </w:style>
  <w:style w:type="table" w:styleId="TableNormald" w:customStyle="1">
    <w:name w:val="Table Normal"/>
    <w:tblPr>
      <w:tblCellMar>
        <w:top w:w="0.0" w:type="dxa"/>
        <w:left w:w="0.0" w:type="dxa"/>
        <w:bottom w:w="0.0" w:type="dxa"/>
        <w:right w:w="0.0" w:type="dxa"/>
      </w:tblCellMar>
    </w:tblPr>
  </w:style>
  <w:style w:type="table" w:styleId="TableNormale" w:customStyle="1">
    <w:name w:val="Table Normal"/>
    <w:tblPr>
      <w:tblCellMar>
        <w:top w:w="0.0" w:type="dxa"/>
        <w:left w:w="0.0" w:type="dxa"/>
        <w:bottom w:w="0.0" w:type="dxa"/>
        <w:right w:w="0.0" w:type="dxa"/>
      </w:tblCellMar>
    </w:tblPr>
  </w:style>
  <w:style w:type="paragraph" w:styleId="Standard" w:customStyle="1">
    <w:name w:val="Standard"/>
    <w:pPr>
      <w:suppressAutoHyphens w:val="1"/>
      <w:autoSpaceDN w:val="0"/>
    </w:pPr>
    <w:rPr>
      <w:rFonts w:ascii="Times New Roman" w:cs="Times New Roman" w:eastAsia="Times New Roman" w:hAnsi="Times New Roman"/>
      <w:kern w:val="3"/>
      <w:lang w:bidi="es-ES"/>
    </w:rPr>
  </w:style>
  <w:style w:type="paragraph" w:styleId="Encabezado">
    <w:name w:val="header"/>
    <w:basedOn w:val="Standard"/>
    <w:next w:val="Textbody"/>
    <w:pPr>
      <w:tabs>
        <w:tab w:val="center" w:pos="4252"/>
        <w:tab w:val="right" w:pos="8504"/>
      </w:tabs>
    </w:pPr>
  </w:style>
  <w:style w:type="paragraph" w:styleId="Textbody" w:customStyle="1">
    <w:name w:val="Text body"/>
    <w:basedOn w:val="Standard"/>
    <w:pPr>
      <w:spacing w:after="120"/>
    </w:pPr>
  </w:style>
  <w:style w:type="paragraph" w:styleId="Lista">
    <w:name w:val="List"/>
    <w:basedOn w:val="Textbody"/>
    <w:rPr>
      <w:rFonts w:cs="Tahoma"/>
    </w:rPr>
  </w:style>
  <w:style w:type="paragraph" w:styleId="Descripcin">
    <w:name w:val="caption"/>
    <w:basedOn w:val="Standard"/>
    <w:pPr>
      <w:suppressLineNumbers w:val="1"/>
      <w:spacing w:after="120" w:before="120"/>
    </w:pPr>
    <w:rPr>
      <w:rFonts w:cs="Tahoma"/>
      <w:i w:val="1"/>
      <w:iCs w:val="1"/>
    </w:rPr>
  </w:style>
  <w:style w:type="paragraph" w:styleId="Index" w:customStyle="1">
    <w:name w:val="Index"/>
    <w:basedOn w:val="Standard"/>
    <w:pPr>
      <w:suppressLineNumbers w:val="1"/>
    </w:pPr>
    <w:rPr>
      <w:rFonts w:cs="Tahoma"/>
    </w:rPr>
  </w:style>
  <w:style w:type="paragraph" w:styleId="Piedepgina">
    <w:name w:val="footer"/>
    <w:basedOn w:val="Standard"/>
    <w:pPr>
      <w:suppressLineNumbers w:val="1"/>
      <w:tabs>
        <w:tab w:val="center" w:pos="4987"/>
        <w:tab w:val="right" w:pos="9974"/>
      </w:tabs>
    </w:pPr>
  </w:style>
  <w:style w:type="paragraph" w:styleId="Mapadeldocumento">
    <w:name w:val="Document Map"/>
    <w:basedOn w:val="Standard"/>
    <w:rPr>
      <w:rFonts w:ascii="Tahoma" w:cs="Tahoma" w:eastAsia="Tahoma" w:hAnsi="Tahoma"/>
    </w:rPr>
  </w:style>
  <w:style w:type="paragraph" w:styleId="Textodeglobo">
    <w:name w:val="Balloon Text"/>
    <w:basedOn w:val="Standard"/>
    <w:rPr>
      <w:rFonts w:ascii="Tahoma" w:cs="Tahoma" w:eastAsia="Tahoma" w:hAnsi="Tahoma"/>
      <w:sz w:val="16"/>
      <w:szCs w:val="16"/>
    </w:rPr>
  </w:style>
  <w:style w:type="paragraph" w:styleId="estilo4" w:customStyle="1">
    <w:name w:val="estilo4"/>
    <w:basedOn w:val="Standard"/>
    <w:pPr>
      <w:spacing w:after="100" w:before="100"/>
    </w:pPr>
    <w:rPr>
      <w:color w:val="000000"/>
    </w:rPr>
  </w:style>
  <w:style w:type="paragraph" w:styleId="estilo5" w:customStyle="1">
    <w:name w:val="estilo5"/>
    <w:basedOn w:val="Standard"/>
    <w:pPr>
      <w:spacing w:after="100" w:before="100"/>
    </w:pPr>
  </w:style>
  <w:style w:type="paragraph" w:styleId="NormalWeb">
    <w:name w:val="Normal (Web)"/>
    <w:basedOn w:val="Standard"/>
    <w:uiPriority w:val="99"/>
    <w:pPr>
      <w:spacing w:after="100" w:before="100"/>
    </w:pPr>
  </w:style>
  <w:style w:type="paragraph" w:styleId="TableContents" w:customStyle="1">
    <w:name w:val="Table Contents"/>
    <w:basedOn w:val="Standard"/>
    <w:pPr>
      <w:suppressLineNumbers w:val="1"/>
    </w:pPr>
  </w:style>
  <w:style w:type="paragraph" w:styleId="TableHeading" w:customStyle="1">
    <w:name w:val="Table Heading"/>
    <w:basedOn w:val="TableContents"/>
    <w:pPr>
      <w:jc w:val="center"/>
    </w:pPr>
    <w:rPr>
      <w:b w:val="1"/>
      <w:bCs w:val="1"/>
    </w:rPr>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Absatz-Standardschriftart1111111111111" w:customStyle="1">
    <w:name w:val="WW-Absatz-Standardschriftart1111111111111"/>
  </w:style>
  <w:style w:type="character" w:styleId="WW-Absatz-Standardschriftart11111111111111" w:customStyle="1">
    <w:name w:val="WW-Absatz-Standardschriftart11111111111111"/>
  </w:style>
  <w:style w:type="character" w:styleId="WW-Absatz-Standardschriftart111111111111111" w:customStyle="1">
    <w:name w:val="WW-Absatz-Standardschriftart111111111111111"/>
  </w:style>
  <w:style w:type="character" w:styleId="WW-Absatz-Standardschriftart1111111111111111" w:customStyle="1">
    <w:name w:val="WW-Absatz-Standardschriftart1111111111111111"/>
  </w:style>
  <w:style w:type="character" w:styleId="WW-Absatz-Standardschriftart11111111111111111" w:customStyle="1">
    <w:name w:val="WW-Absatz-Standardschriftart11111111111111111"/>
  </w:style>
  <w:style w:type="character" w:styleId="WW-Absatz-Standardschriftart111111111111111111" w:customStyle="1">
    <w:name w:val="WW-Absatz-Standardschriftart111111111111111111"/>
  </w:style>
  <w:style w:type="character" w:styleId="WW-Absatz-Standardschriftart1111111111111111111" w:customStyle="1">
    <w:name w:val="WW-Absatz-Standardschriftart1111111111111111111"/>
  </w:style>
  <w:style w:type="character" w:styleId="WW-Absatz-Standardschriftart11111111111111111111" w:customStyle="1">
    <w:name w:val="WW-Absatz-Standardschriftart11111111111111111111"/>
  </w:style>
  <w:style w:type="character" w:styleId="WW-Absatz-Standardschriftart111111111111111111111" w:customStyle="1">
    <w:name w:val="WW-Absatz-Standardschriftart111111111111111111111"/>
  </w:style>
  <w:style w:type="character" w:styleId="WW-Absatz-Standardschriftart1111111111111111111111" w:customStyle="1">
    <w:name w:val="WW-Absatz-Standardschriftart1111111111111111111111"/>
  </w:style>
  <w:style w:type="character" w:styleId="RTFNum31" w:customStyle="1">
    <w:name w:val="RTF_Num 3 1"/>
    <w:rPr>
      <w:rFonts w:ascii="Wingdings" w:cs="Wingdings" w:eastAsia="Wingdings" w:hAnsi="Wingdings"/>
      <w:b w:val="0"/>
      <w:bCs w:val="0"/>
      <w:i w:val="0"/>
      <w:iCs w:val="0"/>
      <w:sz w:val="24"/>
      <w:szCs w:val="24"/>
    </w:rPr>
  </w:style>
  <w:style w:type="character" w:styleId="Internetlink" w:customStyle="1">
    <w:name w:val="Internet link"/>
    <w:rPr>
      <w:color w:val="0000ff"/>
      <w:u w:val="single"/>
    </w:rPr>
  </w:style>
  <w:style w:type="character" w:styleId="estilo61" w:customStyle="1">
    <w:name w:val="estilo61"/>
    <w:rPr>
      <w:b w:val="1"/>
      <w:bCs w:val="1"/>
      <w:color w:val="ff0000"/>
    </w:rPr>
  </w:style>
  <w:style w:type="character" w:styleId="Carcterdenumeracin" w:customStyle="1">
    <w:name w:val="Carácter de numeración"/>
  </w:style>
  <w:style w:type="character" w:styleId="BulletSymbols" w:customStyle="1">
    <w:name w:val="Bullet Symbols"/>
    <w:rPr>
      <w:rFonts w:ascii="StarSymbol, 'Arial Unicode MS'" w:cs="StarSymbol, 'Arial Unicode MS'" w:eastAsia="StarSymbol, 'Arial Unicode MS'" w:hAnsi="StarSymbol, 'Arial Unicode MS'"/>
      <w:sz w:val="18"/>
      <w:szCs w:val="18"/>
    </w:rPr>
  </w:style>
  <w:style w:type="numbering" w:styleId="WW8Num1" w:customStyle="1">
    <w:name w:val="WW8Num1"/>
    <w:basedOn w:val="Sinlista"/>
  </w:style>
  <w:style w:type="table" w:styleId="Tablaconcuadrcula">
    <w:name w:val="Table Grid"/>
    <w:basedOn w:val="Tablanormal"/>
    <w:uiPriority w:val="39"/>
    <w:rsid w:val="00EB3E93"/>
    <w:rPr>
      <w:rFonts w:ascii="Calibri" w:cs="Calibri" w:eastAsia="Calibri" w:hAnsi="Calibri"/>
      <w:lang w:eastAsia="es-ES_tradnl"/>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EB3E93"/>
    <w:rPr>
      <w:color w:val="0563c1" w:themeColor="hyperlink"/>
      <w:u w:val="single"/>
    </w:rPr>
  </w:style>
  <w:style w:type="table" w:styleId="5" w:customStyle="1">
    <w:name w:val="5"/>
    <w:basedOn w:val="Tablanormal"/>
    <w:tblPr>
      <w:tblStyleRowBandSize w:val="1"/>
      <w:tblStyleColBandSize w:val="1"/>
      <w:tblCellMar>
        <w:left w:w="10.0" w:type="dxa"/>
        <w:right w:w="10.0" w:type="dxa"/>
      </w:tblCellMar>
    </w:tblPr>
  </w:style>
  <w:style w:type="table" w:styleId="4" w:customStyle="1">
    <w:name w:val="4"/>
    <w:basedOn w:val="Tablanormal"/>
    <w:tblPr>
      <w:tblStyleRowBandSize w:val="1"/>
      <w:tblStyleColBandSize w:val="1"/>
      <w:tblCellMar>
        <w:left w:w="10.0" w:type="dxa"/>
        <w:right w:w="10.0" w:type="dxa"/>
      </w:tblCellMar>
    </w:tblPr>
  </w:style>
  <w:style w:type="table" w:styleId="3" w:customStyle="1">
    <w:name w:val="3"/>
    <w:basedOn w:val="Tablanormal"/>
    <w:tblPr>
      <w:tblStyleRowBandSize w:val="1"/>
      <w:tblStyleColBandSize w:val="1"/>
      <w:tblCellMar>
        <w:left w:w="115.0" w:type="dxa"/>
        <w:right w:w="115.0" w:type="dxa"/>
      </w:tblCellMar>
    </w:tblPr>
  </w:style>
  <w:style w:type="table" w:styleId="2" w:customStyle="1">
    <w:name w:val="2"/>
    <w:basedOn w:val="Tablanormal"/>
    <w:tblPr>
      <w:tblStyleRowBandSize w:val="1"/>
      <w:tblStyleColBandSize w:val="1"/>
      <w:tblCellMar>
        <w:left w:w="115.0" w:type="dxa"/>
        <w:right w:w="115.0" w:type="dxa"/>
      </w:tblCellMar>
    </w:tblPr>
  </w:style>
  <w:style w:type="table" w:styleId="1" w:customStyle="1">
    <w:name w:val="1"/>
    <w:basedOn w:val="Tablanormal"/>
    <w:rPr>
      <w:rFonts w:ascii="Calibri" w:cs="Calibri" w:eastAsia="Calibri" w:hAnsi="Calibri"/>
    </w:rPr>
    <w:tblPr>
      <w:tblStyleRowBandSize w:val="1"/>
      <w:tblStyleColBandSize w:val="1"/>
    </w:tblPr>
  </w:style>
  <w:style w:type="paragraph" w:styleId="Prrafodelista">
    <w:name w:val="List Paragraph"/>
    <w:basedOn w:val="Normal"/>
    <w:uiPriority w:val="34"/>
    <w:qFormat w:val="1"/>
    <w:rsid w:val="00CA167E"/>
    <w:pPr>
      <w:ind w:left="720"/>
      <w:contextualSpacing w:val="1"/>
    </w:pPr>
    <w:rPr>
      <w:rFonts w:cs="Mangal"/>
      <w:szCs w:val="21"/>
    </w:rPr>
  </w:style>
  <w:style w:type="table" w:styleId="a" w:customStyle="1">
    <w:basedOn w:val="TableNormale"/>
    <w:tblPr>
      <w:tblStyleRowBandSize w:val="1"/>
      <w:tblStyleColBandSize w:val="1"/>
      <w:tblCellMar>
        <w:left w:w="10.0" w:type="dxa"/>
        <w:right w:w="10.0" w:type="dxa"/>
      </w:tblCellMar>
    </w:tblPr>
  </w:style>
  <w:style w:type="table" w:styleId="a0" w:customStyle="1">
    <w:basedOn w:val="TableNormale"/>
    <w:tblPr>
      <w:tblStyleRowBandSize w:val="1"/>
      <w:tblStyleColBandSize w:val="1"/>
      <w:tblCellMar>
        <w:left w:w="10.0" w:type="dxa"/>
        <w:right w:w="10.0" w:type="dxa"/>
      </w:tblCellMar>
    </w:tblPr>
  </w:style>
  <w:style w:type="table" w:styleId="a1" w:customStyle="1">
    <w:basedOn w:val="TableNormale"/>
    <w:tblPr>
      <w:tblStyleRowBandSize w:val="1"/>
      <w:tblStyleColBandSize w:val="1"/>
      <w:tblCellMar>
        <w:left w:w="115.0" w:type="dxa"/>
        <w:right w:w="115.0" w:type="dxa"/>
      </w:tblCellMar>
    </w:tblPr>
  </w:style>
  <w:style w:type="table" w:styleId="a2" w:customStyle="1">
    <w:basedOn w:val="TableNormale"/>
    <w:tblPr>
      <w:tblStyleRowBandSize w:val="1"/>
      <w:tblStyleColBandSize w:val="1"/>
      <w:tblCellMar>
        <w:left w:w="115.0" w:type="dxa"/>
        <w:right w:w="115.0" w:type="dxa"/>
      </w:tblCellMar>
    </w:tblPr>
  </w:style>
  <w:style w:type="table" w:styleId="a3" w:customStyle="1">
    <w:basedOn w:val="TableNormale"/>
    <w:rPr>
      <w:rFonts w:ascii="Calibri" w:cs="Calibri" w:eastAsia="Calibri" w:hAnsi="Calibri"/>
    </w:rPr>
    <w:tblPr>
      <w:tblStyleRowBandSize w:val="1"/>
      <w:tblStyleColBandSize w:val="1"/>
      <w:tblCellMar>
        <w:left w:w="108.0" w:type="dxa"/>
        <w:right w:w="108.0" w:type="dxa"/>
      </w:tblCellMar>
    </w:tblPr>
  </w:style>
  <w:style w:type="table" w:styleId="a4" w:customStyle="1">
    <w:basedOn w:val="TableNormald"/>
    <w:tblPr>
      <w:tblStyleRowBandSize w:val="1"/>
      <w:tblStyleColBandSize w:val="1"/>
      <w:tblCellMar>
        <w:left w:w="10.0" w:type="dxa"/>
        <w:right w:w="10.0" w:type="dxa"/>
      </w:tblCellMar>
    </w:tblPr>
  </w:style>
  <w:style w:type="table" w:styleId="a5" w:customStyle="1">
    <w:basedOn w:val="TableNormald"/>
    <w:tblPr>
      <w:tblStyleRowBandSize w:val="1"/>
      <w:tblStyleColBandSize w:val="1"/>
      <w:tblCellMar>
        <w:left w:w="10.0" w:type="dxa"/>
        <w:right w:w="10.0" w:type="dxa"/>
      </w:tblCellMar>
    </w:tblPr>
  </w:style>
  <w:style w:type="table" w:styleId="a6" w:customStyle="1">
    <w:basedOn w:val="TableNormald"/>
    <w:tblPr>
      <w:tblStyleRowBandSize w:val="1"/>
      <w:tblStyleColBandSize w:val="1"/>
      <w:tblCellMar>
        <w:left w:w="115.0" w:type="dxa"/>
        <w:right w:w="115.0" w:type="dxa"/>
      </w:tblCellMar>
    </w:tblPr>
  </w:style>
  <w:style w:type="table" w:styleId="a7" w:customStyle="1">
    <w:basedOn w:val="TableNormald"/>
    <w:tblPr>
      <w:tblStyleRowBandSize w:val="1"/>
      <w:tblStyleColBandSize w:val="1"/>
      <w:tblCellMar>
        <w:left w:w="115.0" w:type="dxa"/>
        <w:right w:w="115.0" w:type="dxa"/>
      </w:tblCellMar>
    </w:tblPr>
  </w:style>
  <w:style w:type="table" w:styleId="a8" w:customStyle="1">
    <w:basedOn w:val="TableNormald"/>
    <w:rPr>
      <w:rFonts w:ascii="Calibri" w:cs="Calibri" w:eastAsia="Calibri" w:hAnsi="Calibri"/>
    </w:rPr>
    <w:tblPr>
      <w:tblStyleRowBandSize w:val="1"/>
      <w:tblStyleColBandSize w:val="1"/>
      <w:tblCellMar>
        <w:left w:w="108.0" w:type="dxa"/>
        <w:right w:w="108.0" w:type="dxa"/>
      </w:tblCellMar>
    </w:tblPr>
  </w:style>
  <w:style w:type="character" w:styleId="Mencinsinresolver">
    <w:name w:val="Unresolved Mention"/>
    <w:basedOn w:val="Fuentedeprrafopredeter"/>
    <w:uiPriority w:val="99"/>
    <w:semiHidden w:val="1"/>
    <w:unhideWhenUsed w:val="1"/>
    <w:rsid w:val="0038137A"/>
    <w:rPr>
      <w:color w:val="605e5c"/>
      <w:shd w:color="auto" w:fill="e1dfdd" w:val="clear"/>
    </w:rPr>
  </w:style>
  <w:style w:type="table" w:styleId="a9" w:customStyle="1">
    <w:basedOn w:val="TableNormalc"/>
    <w:tblPr>
      <w:tblStyleRowBandSize w:val="1"/>
      <w:tblStyleColBandSize w:val="1"/>
      <w:tblCellMar>
        <w:left w:w="10.0" w:type="dxa"/>
        <w:right w:w="10.0" w:type="dxa"/>
      </w:tblCellMar>
    </w:tblPr>
  </w:style>
  <w:style w:type="table" w:styleId="aa" w:customStyle="1">
    <w:basedOn w:val="TableNormalc"/>
    <w:tblPr>
      <w:tblStyleRowBandSize w:val="1"/>
      <w:tblStyleColBandSize w:val="1"/>
      <w:tblCellMar>
        <w:left w:w="10.0" w:type="dxa"/>
        <w:right w:w="10.0" w:type="dxa"/>
      </w:tblCellMar>
    </w:tblPr>
  </w:style>
  <w:style w:type="table" w:styleId="ab" w:customStyle="1">
    <w:basedOn w:val="TableNormalc"/>
    <w:tblPr>
      <w:tblStyleRowBandSize w:val="1"/>
      <w:tblStyleColBandSize w:val="1"/>
      <w:tblCellMar>
        <w:left w:w="115.0" w:type="dxa"/>
        <w:right w:w="115.0" w:type="dxa"/>
      </w:tblCellMar>
    </w:tblPr>
  </w:style>
  <w:style w:type="table" w:styleId="ac" w:customStyle="1">
    <w:basedOn w:val="TableNormalc"/>
    <w:tblPr>
      <w:tblStyleRowBandSize w:val="1"/>
      <w:tblStyleColBandSize w:val="1"/>
      <w:tblCellMar>
        <w:left w:w="115.0" w:type="dxa"/>
        <w:right w:w="115.0" w:type="dxa"/>
      </w:tblCellMar>
    </w:tblPr>
  </w:style>
  <w:style w:type="table" w:styleId="ad" w:customStyle="1">
    <w:basedOn w:val="TableNormalc"/>
    <w:rPr>
      <w:rFonts w:ascii="Calibri" w:cs="Calibri" w:eastAsia="Calibri" w:hAnsi="Calibri"/>
    </w:rPr>
    <w:tblPr>
      <w:tblStyleRowBandSize w:val="1"/>
      <w:tblStyleColBandSize w:val="1"/>
      <w:tblCellMar>
        <w:left w:w="108.0" w:type="dxa"/>
        <w:right w:w="108.0" w:type="dxa"/>
      </w:tblCellMar>
    </w:tblPr>
  </w:style>
  <w:style w:type="table" w:styleId="ae" w:customStyle="1">
    <w:basedOn w:val="TableNormalb"/>
    <w:tblPr>
      <w:tblStyleRowBandSize w:val="1"/>
      <w:tblStyleColBandSize w:val="1"/>
      <w:tblCellMar>
        <w:left w:w="10.0" w:type="dxa"/>
        <w:right w:w="10.0" w:type="dxa"/>
      </w:tblCellMar>
    </w:tblPr>
  </w:style>
  <w:style w:type="table" w:styleId="af" w:customStyle="1">
    <w:basedOn w:val="TableNormalb"/>
    <w:tblPr>
      <w:tblStyleRowBandSize w:val="1"/>
      <w:tblStyleColBandSize w:val="1"/>
      <w:tblCellMar>
        <w:left w:w="10.0" w:type="dxa"/>
        <w:right w:w="10.0" w:type="dxa"/>
      </w:tblCellMar>
    </w:tblPr>
  </w:style>
  <w:style w:type="table" w:styleId="af0" w:customStyle="1">
    <w:basedOn w:val="TableNormalb"/>
    <w:tblPr>
      <w:tblStyleRowBandSize w:val="1"/>
      <w:tblStyleColBandSize w:val="1"/>
      <w:tblCellMar>
        <w:left w:w="115.0" w:type="dxa"/>
        <w:right w:w="115.0" w:type="dxa"/>
      </w:tblCellMar>
    </w:tblPr>
  </w:style>
  <w:style w:type="table" w:styleId="af1" w:customStyle="1">
    <w:basedOn w:val="TableNormalb"/>
    <w:tblPr>
      <w:tblStyleRowBandSize w:val="1"/>
      <w:tblStyleColBandSize w:val="1"/>
      <w:tblCellMar>
        <w:left w:w="115.0" w:type="dxa"/>
        <w:right w:w="115.0" w:type="dxa"/>
      </w:tblCellMar>
    </w:tblPr>
  </w:style>
  <w:style w:type="table" w:styleId="af2" w:customStyle="1">
    <w:basedOn w:val="TableNormalb"/>
    <w:rPr>
      <w:rFonts w:ascii="Calibri" w:cs="Calibri" w:eastAsia="Calibri" w:hAnsi="Calibri"/>
    </w:rPr>
    <w:tblPr>
      <w:tblStyleRowBandSize w:val="1"/>
      <w:tblStyleColBandSize w:val="1"/>
      <w:tblCellMar>
        <w:left w:w="108.0" w:type="dxa"/>
        <w:right w:w="108.0" w:type="dxa"/>
      </w:tblCellMar>
    </w:tblPr>
  </w:style>
  <w:style w:type="table" w:styleId="af3" w:customStyle="1">
    <w:basedOn w:val="TableNormala"/>
    <w:tblPr>
      <w:tblStyleRowBandSize w:val="1"/>
      <w:tblStyleColBandSize w:val="1"/>
      <w:tblCellMar>
        <w:left w:w="10.0" w:type="dxa"/>
        <w:right w:w="10.0" w:type="dxa"/>
      </w:tblCellMar>
    </w:tblPr>
  </w:style>
  <w:style w:type="table" w:styleId="af4" w:customStyle="1">
    <w:basedOn w:val="TableNormala"/>
    <w:tblPr>
      <w:tblStyleRowBandSize w:val="1"/>
      <w:tblStyleColBandSize w:val="1"/>
      <w:tblCellMar>
        <w:left w:w="10.0" w:type="dxa"/>
        <w:right w:w="10.0" w:type="dxa"/>
      </w:tblCellMar>
    </w:tblPr>
  </w:style>
  <w:style w:type="table" w:styleId="af5" w:customStyle="1">
    <w:basedOn w:val="TableNormala"/>
    <w:tblPr>
      <w:tblStyleRowBandSize w:val="1"/>
      <w:tblStyleColBandSize w:val="1"/>
      <w:tblCellMar>
        <w:left w:w="115.0" w:type="dxa"/>
        <w:right w:w="115.0" w:type="dxa"/>
      </w:tblCellMar>
    </w:tblPr>
  </w:style>
  <w:style w:type="table" w:styleId="af6" w:customStyle="1">
    <w:basedOn w:val="TableNormala"/>
    <w:tblPr>
      <w:tblStyleRowBandSize w:val="1"/>
      <w:tblStyleColBandSize w:val="1"/>
      <w:tblCellMar>
        <w:left w:w="115.0" w:type="dxa"/>
        <w:right w:w="115.0" w:type="dxa"/>
      </w:tblCellMar>
    </w:tblPr>
  </w:style>
  <w:style w:type="table" w:styleId="af7" w:customStyle="1">
    <w:basedOn w:val="TableNormala"/>
    <w:rPr>
      <w:rFonts w:ascii="Calibri" w:cs="Calibri" w:eastAsia="Calibri" w:hAnsi="Calibri"/>
    </w:rPr>
    <w:tblPr>
      <w:tblStyleRowBandSize w:val="1"/>
      <w:tblStyleColBandSize w:val="1"/>
      <w:tblCellMar>
        <w:left w:w="108.0" w:type="dxa"/>
        <w:right w:w="108.0" w:type="dxa"/>
      </w:tblCellMar>
    </w:tblPr>
  </w:style>
  <w:style w:type="character" w:styleId="Hipervnculovisitado">
    <w:name w:val="FollowedHyperlink"/>
    <w:basedOn w:val="Fuentedeprrafopredeter"/>
    <w:uiPriority w:val="99"/>
    <w:semiHidden w:val="1"/>
    <w:unhideWhenUsed w:val="1"/>
    <w:rsid w:val="004B6770"/>
    <w:rPr>
      <w:color w:val="954f72" w:themeColor="followedHyperlink"/>
      <w:u w:val="single"/>
    </w:rPr>
  </w:style>
  <w:style w:type="character" w:styleId="apple-tab-span" w:customStyle="1">
    <w:name w:val="apple-tab-span"/>
    <w:basedOn w:val="Fuentedeprrafopredeter"/>
    <w:rsid w:val="00581685"/>
  </w:style>
  <w:style w:type="table" w:styleId="af8" w:customStyle="1">
    <w:basedOn w:val="TableNormal9"/>
    <w:tblPr>
      <w:tblStyleRowBandSize w:val="1"/>
      <w:tblStyleColBandSize w:val="1"/>
      <w:tblCellMar>
        <w:left w:w="10.0" w:type="dxa"/>
        <w:right w:w="10.0" w:type="dxa"/>
      </w:tblCellMar>
    </w:tblPr>
  </w:style>
  <w:style w:type="table" w:styleId="af9" w:customStyle="1">
    <w:basedOn w:val="TableNormal9"/>
    <w:tblPr>
      <w:tblStyleRowBandSize w:val="1"/>
      <w:tblStyleColBandSize w:val="1"/>
      <w:tblCellMar>
        <w:left w:w="10.0" w:type="dxa"/>
        <w:right w:w="10.0" w:type="dxa"/>
      </w:tblCellMar>
    </w:tblPr>
  </w:style>
  <w:style w:type="table" w:styleId="afa" w:customStyle="1">
    <w:basedOn w:val="TableNormal9"/>
    <w:tblPr>
      <w:tblStyleRowBandSize w:val="1"/>
      <w:tblStyleColBandSize w:val="1"/>
      <w:tblCellMar>
        <w:left w:w="10.0" w:type="dxa"/>
        <w:right w:w="10.0" w:type="dxa"/>
      </w:tblCellMar>
    </w:tblPr>
  </w:style>
  <w:style w:type="table" w:styleId="afb" w:customStyle="1">
    <w:basedOn w:val="TableNormal9"/>
    <w:tblPr>
      <w:tblStyleRowBandSize w:val="1"/>
      <w:tblStyleColBandSize w:val="1"/>
      <w:tblCellMar>
        <w:left w:w="115.0" w:type="dxa"/>
        <w:right w:w="115.0" w:type="dxa"/>
      </w:tblCellMar>
    </w:tblPr>
  </w:style>
  <w:style w:type="table" w:styleId="afc" w:customStyle="1">
    <w:basedOn w:val="TableNormal9"/>
    <w:tblPr>
      <w:tblStyleRowBandSize w:val="1"/>
      <w:tblStyleColBandSize w:val="1"/>
      <w:tblCellMar>
        <w:left w:w="115.0" w:type="dxa"/>
        <w:right w:w="115.0" w:type="dxa"/>
      </w:tblCellMar>
    </w:tblPr>
  </w:style>
  <w:style w:type="table" w:styleId="afd" w:customStyle="1">
    <w:basedOn w:val="TableNormal9"/>
    <w:rPr>
      <w:rFonts w:ascii="Calibri" w:cs="Calibri" w:eastAsia="Calibri" w:hAnsi="Calibri"/>
    </w:rPr>
    <w:tblPr>
      <w:tblStyleRowBandSize w:val="1"/>
      <w:tblStyleColBandSize w:val="1"/>
      <w:tblCellMar>
        <w:left w:w="108.0" w:type="dxa"/>
        <w:right w:w="108.0" w:type="dxa"/>
      </w:tblCellMar>
    </w:tblPr>
  </w:style>
  <w:style w:type="table" w:styleId="afe" w:customStyle="1">
    <w:basedOn w:val="TableNormal9"/>
    <w:tblPr>
      <w:tblStyleRowBandSize w:val="1"/>
      <w:tblStyleColBandSize w:val="1"/>
      <w:tblCellMar>
        <w:left w:w="10.0" w:type="dxa"/>
        <w:right w:w="10.0" w:type="dxa"/>
      </w:tblCellMar>
    </w:tblPr>
  </w:style>
  <w:style w:type="table" w:styleId="aff" w:customStyle="1">
    <w:basedOn w:val="TableNormal9"/>
    <w:tblPr>
      <w:tblStyleRowBandSize w:val="1"/>
      <w:tblStyleColBandSize w:val="1"/>
      <w:tblCellMar>
        <w:left w:w="10.0" w:type="dxa"/>
        <w:right w:w="10.0" w:type="dxa"/>
      </w:tblCellMar>
    </w:tblPr>
  </w:style>
  <w:style w:type="table" w:styleId="aff0" w:customStyle="1">
    <w:basedOn w:val="TableNormal9"/>
    <w:tblPr>
      <w:tblStyleRowBandSize w:val="1"/>
      <w:tblStyleColBandSize w:val="1"/>
      <w:tblCellMar>
        <w:left w:w="115.0" w:type="dxa"/>
        <w:right w:w="115.0" w:type="dxa"/>
      </w:tblCellMar>
    </w:tblPr>
  </w:style>
  <w:style w:type="table" w:styleId="aff1" w:customStyle="1">
    <w:basedOn w:val="TableNormal9"/>
    <w:tblPr>
      <w:tblStyleRowBandSize w:val="1"/>
      <w:tblStyleColBandSize w:val="1"/>
      <w:tblCellMar>
        <w:left w:w="115.0" w:type="dxa"/>
        <w:right w:w="115.0" w:type="dxa"/>
      </w:tblCellMar>
    </w:tblPr>
  </w:style>
  <w:style w:type="table" w:styleId="aff2" w:customStyle="1">
    <w:basedOn w:val="TableNormal9"/>
    <w:rPr>
      <w:rFonts w:ascii="Calibri" w:cs="Calibri" w:eastAsia="Calibri" w:hAnsi="Calibri"/>
    </w:rPr>
    <w:tblPr>
      <w:tblStyleRowBandSize w:val="1"/>
      <w:tblStyleColBandSize w:val="1"/>
      <w:tblCellMar>
        <w:left w:w="108.0" w:type="dxa"/>
        <w:right w:w="108.0" w:type="dxa"/>
      </w:tblCellMar>
    </w:tblPr>
  </w:style>
  <w:style w:type="character" w:styleId="Textoennegrita">
    <w:name w:val="Strong"/>
    <w:basedOn w:val="Fuentedeprrafopredeter"/>
    <w:uiPriority w:val="22"/>
    <w:qFormat w:val="1"/>
    <w:rsid w:val="005E50F5"/>
    <w:rPr>
      <w:b w:val="1"/>
      <w:bCs w:val="1"/>
    </w:rPr>
  </w:style>
  <w:style w:type="table" w:styleId="aff3" w:customStyle="1">
    <w:basedOn w:val="TableNormal7"/>
    <w:tblPr>
      <w:tblStyleRowBandSize w:val="1"/>
      <w:tblStyleColBandSize w:val="1"/>
      <w:tblCellMar>
        <w:left w:w="10.0" w:type="dxa"/>
        <w:right w:w="10.0" w:type="dxa"/>
      </w:tblCellMar>
    </w:tblPr>
  </w:style>
  <w:style w:type="table" w:styleId="aff4" w:customStyle="1">
    <w:basedOn w:val="TableNormal7"/>
    <w:tblPr>
      <w:tblStyleRowBandSize w:val="1"/>
      <w:tblStyleColBandSize w:val="1"/>
      <w:tblCellMar>
        <w:left w:w="10.0" w:type="dxa"/>
        <w:right w:w="10.0" w:type="dxa"/>
      </w:tblCellMar>
    </w:tblPr>
  </w:style>
  <w:style w:type="table" w:styleId="aff5" w:customStyle="1">
    <w:basedOn w:val="TableNormal7"/>
    <w:tblPr>
      <w:tblStyleRowBandSize w:val="1"/>
      <w:tblStyleColBandSize w:val="1"/>
      <w:tblCellMar>
        <w:left w:w="115.0" w:type="dxa"/>
        <w:right w:w="115.0" w:type="dxa"/>
      </w:tblCellMar>
    </w:tblPr>
  </w:style>
  <w:style w:type="table" w:styleId="aff6" w:customStyle="1">
    <w:basedOn w:val="TableNormal7"/>
    <w:tblPr>
      <w:tblStyleRowBandSize w:val="1"/>
      <w:tblStyleColBandSize w:val="1"/>
      <w:tblCellMar>
        <w:left w:w="115.0" w:type="dxa"/>
        <w:right w:w="115.0" w:type="dxa"/>
      </w:tblCellMar>
    </w:tblPr>
  </w:style>
  <w:style w:type="table" w:styleId="aff7" w:customStyle="1">
    <w:basedOn w:val="TableNormal7"/>
    <w:rPr>
      <w:rFonts w:ascii="Calibri" w:cs="Calibri" w:eastAsia="Calibri" w:hAnsi="Calibri"/>
    </w:rPr>
    <w:tblPr>
      <w:tblStyleRowBandSize w:val="1"/>
      <w:tblStyleColBandSize w:val="1"/>
      <w:tblCellMar>
        <w:left w:w="108.0" w:type="dxa"/>
        <w:right w:w="108.0" w:type="dxa"/>
      </w:tblCellMar>
    </w:tblPr>
  </w:style>
  <w:style w:type="table" w:styleId="aff8" w:customStyle="1">
    <w:basedOn w:val="TableNormal6"/>
    <w:tblPr>
      <w:tblStyleRowBandSize w:val="1"/>
      <w:tblStyleColBandSize w:val="1"/>
      <w:tblCellMar>
        <w:left w:w="10.0" w:type="dxa"/>
        <w:right w:w="10.0" w:type="dxa"/>
      </w:tblCellMar>
    </w:tblPr>
  </w:style>
  <w:style w:type="table" w:styleId="aff9" w:customStyle="1">
    <w:basedOn w:val="TableNormal6"/>
    <w:tblPr>
      <w:tblStyleRowBandSize w:val="1"/>
      <w:tblStyleColBandSize w:val="1"/>
      <w:tblCellMar>
        <w:top w:w="100.0" w:type="dxa"/>
        <w:left w:w="100.0" w:type="dxa"/>
        <w:bottom w:w="100.0" w:type="dxa"/>
        <w:right w:w="100.0" w:type="dxa"/>
      </w:tblCellMar>
    </w:tblPr>
  </w:style>
  <w:style w:type="table" w:styleId="affa" w:customStyle="1">
    <w:basedOn w:val="TableNormal6"/>
    <w:tblPr>
      <w:tblStyleRowBandSize w:val="1"/>
      <w:tblStyleColBandSize w:val="1"/>
      <w:tblCellMar>
        <w:left w:w="10.0" w:type="dxa"/>
        <w:right w:w="10.0" w:type="dxa"/>
      </w:tblCellMar>
    </w:tblPr>
  </w:style>
  <w:style w:type="table" w:styleId="affb" w:customStyle="1">
    <w:basedOn w:val="TableNormal6"/>
    <w:tblPr>
      <w:tblStyleRowBandSize w:val="1"/>
      <w:tblStyleColBandSize w:val="1"/>
      <w:tblCellMar>
        <w:left w:w="115.0" w:type="dxa"/>
        <w:right w:w="115.0" w:type="dxa"/>
      </w:tblCellMar>
    </w:tblPr>
  </w:style>
  <w:style w:type="table" w:styleId="affc" w:customStyle="1">
    <w:basedOn w:val="TableNormal6"/>
    <w:tblPr>
      <w:tblStyleRowBandSize w:val="1"/>
      <w:tblStyleColBandSize w:val="1"/>
      <w:tblCellMar>
        <w:left w:w="115.0" w:type="dxa"/>
        <w:right w:w="115.0" w:type="dxa"/>
      </w:tblCellMar>
    </w:tblPr>
  </w:style>
  <w:style w:type="table" w:styleId="affd" w:customStyle="1">
    <w:basedOn w:val="TableNormal6"/>
    <w:rPr>
      <w:rFonts w:ascii="Calibri" w:cs="Calibri" w:eastAsia="Calibri" w:hAnsi="Calibri"/>
    </w:rPr>
    <w:tblPr>
      <w:tblStyleRowBandSize w:val="1"/>
      <w:tblStyleColBandSize w:val="1"/>
      <w:tblCellMar>
        <w:left w:w="108.0" w:type="dxa"/>
        <w:right w:w="108.0" w:type="dxa"/>
      </w:tblCellMar>
    </w:tblPr>
  </w:style>
  <w:style w:type="paragraph" w:styleId="Textocomentario">
    <w:name w:val="annotation text"/>
    <w:basedOn w:val="Normal"/>
    <w:link w:val="TextocomentarioCar"/>
    <w:uiPriority w:val="99"/>
    <w:semiHidden w:val="1"/>
    <w:unhideWhenUsed w:val="1"/>
    <w:rPr>
      <w:rFonts w:cs="Mangal"/>
      <w:sz w:val="20"/>
      <w:szCs w:val="18"/>
    </w:rPr>
  </w:style>
  <w:style w:type="character" w:styleId="TextocomentarioCar" w:customStyle="1">
    <w:name w:val="Texto comentario Car"/>
    <w:basedOn w:val="Fuentedeprrafopredeter"/>
    <w:link w:val="Textocomentario"/>
    <w:uiPriority w:val="99"/>
    <w:semiHidden w:val="1"/>
    <w:rPr>
      <w:rFonts w:cs="Mangal"/>
      <w:kern w:val="3"/>
      <w:sz w:val="20"/>
      <w:szCs w:val="18"/>
      <w:lang w:bidi="hi-IN" w:eastAsia="zh-CN"/>
    </w:rPr>
  </w:style>
  <w:style w:type="character" w:styleId="Refdecomentario">
    <w:name w:val="annotation reference"/>
    <w:basedOn w:val="Fuentedeprrafopredeter"/>
    <w:uiPriority w:val="99"/>
    <w:semiHidden w:val="1"/>
    <w:unhideWhenUsed w:val="1"/>
    <w:rPr>
      <w:sz w:val="16"/>
      <w:szCs w:val="16"/>
    </w:rPr>
  </w:style>
  <w:style w:type="table" w:styleId="affe" w:customStyle="1">
    <w:basedOn w:val="TableNormal5"/>
    <w:tblPr>
      <w:tblStyleRowBandSize w:val="1"/>
      <w:tblStyleColBandSize w:val="1"/>
      <w:tblCellMar>
        <w:left w:w="10.0" w:type="dxa"/>
        <w:right w:w="10.0" w:type="dxa"/>
      </w:tblCellMar>
    </w:tblPr>
  </w:style>
  <w:style w:type="table" w:styleId="afff" w:customStyle="1">
    <w:basedOn w:val="TableNormal5"/>
    <w:tblPr>
      <w:tblStyleRowBandSize w:val="1"/>
      <w:tblStyleColBandSize w:val="1"/>
      <w:tblCellMar>
        <w:top w:w="100.0" w:type="dxa"/>
        <w:left w:w="100.0" w:type="dxa"/>
        <w:bottom w:w="100.0" w:type="dxa"/>
        <w:right w:w="100.0" w:type="dxa"/>
      </w:tblCellMar>
    </w:tblPr>
  </w:style>
  <w:style w:type="table" w:styleId="afff0" w:customStyle="1">
    <w:basedOn w:val="TableNormal5"/>
    <w:tblPr>
      <w:tblStyleRowBandSize w:val="1"/>
      <w:tblStyleColBandSize w:val="1"/>
      <w:tblCellMar>
        <w:left w:w="10.0" w:type="dxa"/>
        <w:right w:w="10.0" w:type="dxa"/>
      </w:tblCellMar>
    </w:tblPr>
  </w:style>
  <w:style w:type="table" w:styleId="afff1" w:customStyle="1">
    <w:basedOn w:val="TableNormal5"/>
    <w:rPr>
      <w:rFonts w:ascii="Calibri" w:cs="Calibri" w:eastAsia="Calibri" w:hAnsi="Calibri"/>
    </w:rPr>
    <w:tblPr>
      <w:tblStyleRowBandSize w:val="1"/>
      <w:tblStyleColBandSize w:val="1"/>
      <w:tblCellMar>
        <w:left w:w="108.0" w:type="dxa"/>
        <w:right w:w="108.0" w:type="dxa"/>
      </w:tblCellMar>
    </w:tblPr>
  </w:style>
  <w:style w:type="table" w:styleId="afff2" w:customStyle="1">
    <w:basedOn w:val="TableNormal5"/>
    <w:tblPr>
      <w:tblStyleRowBandSize w:val="1"/>
      <w:tblStyleColBandSize w:val="1"/>
      <w:tblCellMar>
        <w:left w:w="10.0" w:type="dxa"/>
        <w:right w:w="10.0" w:type="dxa"/>
      </w:tblCellMar>
    </w:tblPr>
  </w:style>
  <w:style w:type="table" w:styleId="afff3" w:customStyle="1">
    <w:basedOn w:val="TableNormal5"/>
    <w:tblPr>
      <w:tblStyleRowBandSize w:val="1"/>
      <w:tblStyleColBandSize w:val="1"/>
      <w:tblCellMar>
        <w:left w:w="10.0" w:type="dxa"/>
        <w:right w:w="10.0" w:type="dxa"/>
      </w:tblCellMar>
    </w:tblPr>
  </w:style>
  <w:style w:type="table" w:styleId="afff4" w:customStyle="1">
    <w:basedOn w:val="TableNormal5"/>
    <w:rPr>
      <w:rFonts w:ascii="Calibri" w:cs="Calibri" w:eastAsia="Calibri" w:hAnsi="Calibri"/>
    </w:rPr>
    <w:tblPr>
      <w:tblStyleRowBandSize w:val="1"/>
      <w:tblStyleColBandSize w:val="1"/>
      <w:tblCellMar>
        <w:left w:w="108.0" w:type="dxa"/>
        <w:right w:w="108.0" w:type="dxa"/>
      </w:tblCellMar>
    </w:tblPr>
  </w:style>
  <w:style w:type="table" w:styleId="afff5" w:customStyle="1">
    <w:basedOn w:val="TableNormal3"/>
    <w:tblPr>
      <w:tblStyleRowBandSize w:val="1"/>
      <w:tblStyleColBandSize w:val="1"/>
      <w:tblCellMar>
        <w:left w:w="10.0" w:type="dxa"/>
        <w:right w:w="10.0" w:type="dxa"/>
      </w:tblCellMar>
    </w:tblPr>
  </w:style>
  <w:style w:type="table" w:styleId="afff6" w:customStyle="1">
    <w:basedOn w:val="TableNormal3"/>
    <w:tblPr>
      <w:tblStyleRowBandSize w:val="1"/>
      <w:tblStyleColBandSize w:val="1"/>
      <w:tblCellMar>
        <w:top w:w="15.0" w:type="dxa"/>
        <w:left w:w="15.0" w:type="dxa"/>
        <w:bottom w:w="15.0" w:type="dxa"/>
        <w:right w:w="15.0" w:type="dxa"/>
      </w:tblCellMar>
    </w:tblPr>
  </w:style>
  <w:style w:type="table" w:styleId="afff7" w:customStyle="1">
    <w:basedOn w:val="TableNormal3"/>
    <w:tblPr>
      <w:tblStyleRowBandSize w:val="1"/>
      <w:tblStyleColBandSize w:val="1"/>
      <w:tblCellMar>
        <w:left w:w="70.0" w:type="dxa"/>
        <w:right w:w="70.0" w:type="dxa"/>
      </w:tblCellMar>
    </w:tblPr>
  </w:style>
  <w:style w:type="table" w:styleId="afff8" w:customStyle="1">
    <w:basedOn w:val="TableNormal3"/>
    <w:rPr>
      <w:rFonts w:ascii="Calibri" w:cs="Calibri" w:eastAsia="Calibri" w:hAnsi="Calibri"/>
    </w:rPr>
    <w:tblPr>
      <w:tblStyleRowBandSize w:val="1"/>
      <w:tblStyleColBandSize w:val="1"/>
      <w:tblCellMar>
        <w:left w:w="108.0" w:type="dxa"/>
        <w:right w:w="108.0" w:type="dxa"/>
      </w:tblCellMar>
    </w:tblPr>
  </w:style>
  <w:style w:type="table" w:styleId="afff9" w:customStyle="1">
    <w:basedOn w:val="TableNormal3"/>
    <w:tblPr>
      <w:tblStyleRowBandSize w:val="1"/>
      <w:tblStyleColBandSize w:val="1"/>
      <w:tblCellMar>
        <w:left w:w="10.0" w:type="dxa"/>
        <w:right w:w="10.0" w:type="dxa"/>
      </w:tblCellMar>
    </w:tblPr>
  </w:style>
  <w:style w:type="table" w:styleId="afffa" w:customStyle="1">
    <w:basedOn w:val="TableNormal3"/>
    <w:rPr>
      <w:rFonts w:ascii="Calibri" w:cs="Calibri" w:eastAsia="Calibri" w:hAnsi="Calibri"/>
    </w:rPr>
    <w:tblPr>
      <w:tblStyleRowBandSize w:val="1"/>
      <w:tblStyleColBandSize w:val="1"/>
      <w:tblCellMar>
        <w:left w:w="108.0" w:type="dxa"/>
        <w:right w:w="108.0" w:type="dxa"/>
      </w:tblCellMar>
    </w:tblPr>
  </w:style>
  <w:style w:type="table" w:styleId="afffb" w:customStyle="1">
    <w:basedOn w:val="TableNormal2"/>
    <w:tblPr>
      <w:tblStyleRowBandSize w:val="1"/>
      <w:tblStyleColBandSize w:val="1"/>
      <w:tblCellMar>
        <w:left w:w="10.0" w:type="dxa"/>
        <w:right w:w="10.0" w:type="dxa"/>
      </w:tblCellMar>
    </w:tblPr>
  </w:style>
  <w:style w:type="table" w:styleId="afffc" w:customStyle="1">
    <w:basedOn w:val="TableNormal2"/>
    <w:tblPr>
      <w:tblStyleRowBandSize w:val="1"/>
      <w:tblStyleColBandSize w:val="1"/>
      <w:tblCellMar>
        <w:left w:w="70.0" w:type="dxa"/>
        <w:right w:w="70.0" w:type="dxa"/>
      </w:tblCellMar>
    </w:tblPr>
  </w:style>
  <w:style w:type="table" w:styleId="afffd" w:customStyle="1">
    <w:basedOn w:val="TableNormal2"/>
    <w:tblPr>
      <w:tblStyleRowBandSize w:val="1"/>
      <w:tblStyleColBandSize w:val="1"/>
    </w:tblPr>
  </w:style>
  <w:style w:type="table" w:styleId="afffe" w:customStyle="1">
    <w:basedOn w:val="TableNormal2"/>
    <w:tblPr>
      <w:tblStyleRowBandSize w:val="1"/>
      <w:tblStyleColBandSize w:val="1"/>
    </w:tblPr>
  </w:style>
  <w:style w:type="table" w:styleId="affff" w:customStyle="1">
    <w:basedOn w:val="TableNormal2"/>
    <w:tblPr>
      <w:tblStyleRowBandSize w:val="1"/>
      <w:tblStyleColBandSize w:val="1"/>
      <w:tblCellMar>
        <w:left w:w="10.0" w:type="dxa"/>
        <w:right w:w="10.0" w:type="dxa"/>
      </w:tblCellMar>
    </w:tblPr>
  </w:style>
  <w:style w:type="table" w:styleId="affff0" w:customStyle="1">
    <w:basedOn w:val="TableNormal2"/>
    <w:rPr>
      <w:rFonts w:ascii="Calibri" w:cs="Calibri" w:eastAsia="Calibri" w:hAnsi="Calibri"/>
    </w:rPr>
    <w:tblPr>
      <w:tblStyleRowBandSize w:val="1"/>
      <w:tblStyleColBandSize w:val="1"/>
      <w:tblCellMar>
        <w:left w:w="108.0" w:type="dxa"/>
        <w:right w:w="108.0" w:type="dxa"/>
      </w:tblCellMar>
    </w:tblPr>
  </w:style>
  <w:style w:type="table" w:styleId="affff1" w:customStyle="1">
    <w:basedOn w:val="TableNormal1"/>
    <w:tblPr>
      <w:tblStyleRowBandSize w:val="1"/>
      <w:tblStyleColBandSize w:val="1"/>
      <w:tblCellMar>
        <w:top w:w="0.0" w:type="dxa"/>
        <w:left w:w="10.0" w:type="dxa"/>
        <w:bottom w:w="0.0" w:type="dxa"/>
        <w:right w:w="10.0" w:type="dxa"/>
      </w:tblCellMar>
    </w:tblPr>
  </w:style>
  <w:style w:type="table" w:styleId="affff2" w:customStyle="1">
    <w:basedOn w:val="TableNormal1"/>
    <w:tblPr>
      <w:tblStyleRowBandSize w:val="1"/>
      <w:tblStyleColBandSize w:val="1"/>
      <w:tblCellMar>
        <w:top w:w="0.0" w:type="dxa"/>
        <w:left w:w="70.0" w:type="dxa"/>
        <w:bottom w:w="0.0" w:type="dxa"/>
        <w:right w:w="70.0" w:type="dxa"/>
      </w:tblCellMar>
    </w:tblPr>
  </w:style>
  <w:style w:type="table" w:styleId="affff3" w:customStyle="1">
    <w:basedOn w:val="TableNormal1"/>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affff4" w:customStyle="1">
    <w:basedOn w:val="TableNormal0"/>
    <w:tblPr>
      <w:tblStyleRowBandSize w:val="1"/>
      <w:tblStyleColBandSize w:val="1"/>
      <w:tblCellMar>
        <w:top w:w="0.0" w:type="dxa"/>
        <w:left w:w="10.0" w:type="dxa"/>
        <w:bottom w:w="0.0" w:type="dxa"/>
        <w:right w:w="10.0" w:type="dxa"/>
      </w:tblCellMar>
    </w:tblPr>
  </w:style>
  <w:style w:type="table" w:styleId="affff5" w:customStyle="1">
    <w:basedOn w:val="TableNormal0"/>
    <w:tblPr>
      <w:tblStyleRowBandSize w:val="1"/>
      <w:tblStyleColBandSize w:val="1"/>
      <w:tblCellMar>
        <w:top w:w="0.0" w:type="dxa"/>
        <w:left w:w="70.0" w:type="dxa"/>
        <w:bottom w:w="0.0" w:type="dxa"/>
        <w:right w:w="70.0" w:type="dxa"/>
      </w:tblCellMar>
    </w:tblPr>
  </w:style>
  <w:style w:type="table" w:styleId="affff6" w:customStyle="1">
    <w:basedOn w:val="TableNormal0"/>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gsILH7U8oOHEbbLxC1vU7BtihYabTe1U/edit?usp=sharing&amp;ouid=102176214051062020554&amp;rtpof=true&amp;sd=true"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atalia.sefair@scrd.gov.co" TargetMode="External"/><Relationship Id="rId8" Type="http://schemas.openxmlformats.org/officeDocument/2006/relationships/hyperlink" Target="mailto:hugo.robles@scrd.gov.c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hyperlink" Target="http://www.culturarecreacionydeporte.gov.co/" TargetMode="External"/><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lkqB5Uz7QbAeD5wRVqmGxCfngg==">CgMxLjA4AHIhMVdRN3ZVd1JnanpMVHdKSW5vWEdENEFrMFF3MjE3Z3R1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2025-07-02T01:32:00Z</dcterms:created>
  <dc:creator>Gestión de Mejora Contínua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ión 1">
    <vt:lpwstr/>
  </property>
  <property fmtid="{D5CDD505-2E9C-101B-9397-08002B2CF9AE}" pid="3" name="Información 2">
    <vt:lpwstr/>
  </property>
  <property fmtid="{D5CDD505-2E9C-101B-9397-08002B2CF9AE}" pid="4" name="Información 3">
    <vt:lpwstr/>
  </property>
  <property fmtid="{D5CDD505-2E9C-101B-9397-08002B2CF9AE}" pid="5" name="Información 4">
    <vt:lpwstr/>
  </property>
</Properties>
</file>